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3A9AAF" w14:textId="77777777" w:rsidR="0013277B" w:rsidRDefault="008B6EC8">
      <w:pPr>
        <w:jc w:val="center"/>
        <w:rPr>
          <w:rFonts w:ascii="Comfortaa" w:eastAsia="Comfortaa" w:hAnsi="Comfortaa" w:cs="Comfortaa"/>
          <w:b/>
          <w:bCs/>
        </w:rPr>
      </w:pPr>
      <w:r>
        <w:rPr>
          <w:rFonts w:ascii="Comfortaa" w:eastAsia="Comfortaa" w:hAnsi="Comfortaa" w:cs="Comfortaa"/>
          <w:b/>
          <w:bCs/>
          <w:sz w:val="28"/>
          <w:szCs w:val="28"/>
        </w:rPr>
        <w:t>Statement of variance: Progress against Targets Hora Hora School 205</w:t>
      </w:r>
      <w:r>
        <w:rPr>
          <w:rFonts w:ascii="Comfortaa" w:eastAsia="Comfortaa" w:hAnsi="Comfortaa" w:cs="Comfortaa"/>
          <w:b/>
          <w:bCs/>
        </w:rPr>
        <w:t xml:space="preserve"> </w:t>
      </w:r>
    </w:p>
    <w:tbl>
      <w:tblPr>
        <w:tblStyle w:val="a"/>
        <w:tblW w:w="15900" w:type="dxa"/>
        <w:tblInd w:w="-195" w:type="dxa"/>
        <w:tblBorders>
          <w:top w:val="single" w:sz="5" w:space="0" w:color="DDE1EB"/>
          <w:left w:val="single" w:sz="5" w:space="0" w:color="DDE1EB"/>
          <w:bottom w:val="single" w:sz="5" w:space="0" w:color="DDE1EB"/>
          <w:right w:val="single" w:sz="5" w:space="0" w:color="DDE1EB"/>
          <w:insideH w:val="single" w:sz="5" w:space="0" w:color="DDE1EB"/>
          <w:insideV w:val="single" w:sz="5" w:space="0" w:color="DDE1EB"/>
        </w:tblBorders>
        <w:tblLayout w:type="fixed"/>
        <w:tblLook w:val="0600" w:firstRow="0" w:lastRow="0" w:firstColumn="0" w:lastColumn="0" w:noHBand="1" w:noVBand="1"/>
      </w:tblPr>
      <w:tblGrid>
        <w:gridCol w:w="2205"/>
        <w:gridCol w:w="4245"/>
        <w:gridCol w:w="4725"/>
        <w:gridCol w:w="4725"/>
      </w:tblGrid>
      <w:tr w:rsidR="0013277B" w14:paraId="113A5FC8" w14:textId="77777777">
        <w:trPr>
          <w:trHeight w:val="1095"/>
        </w:trPr>
        <w:tc>
          <w:tcPr>
            <w:tcW w:w="15900" w:type="dxa"/>
            <w:gridSpan w:val="4"/>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34D191F"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Strategic Priority 1: Wellbeing / Hauora</w:t>
            </w:r>
          </w:p>
          <w:p w14:paraId="0FC98352" w14:textId="77777777" w:rsidR="0013277B" w:rsidRDefault="008B6EC8">
            <w:pPr>
              <w:jc w:val="center"/>
              <w:rPr>
                <w:rFonts w:ascii="Comfortaa" w:eastAsia="Comfortaa" w:hAnsi="Comfortaa" w:cs="Comfortaa"/>
                <w:i/>
                <w:iCs/>
                <w:color w:val="303030"/>
                <w:sz w:val="21"/>
                <w:szCs w:val="21"/>
                <w:highlight w:val="white"/>
              </w:rPr>
            </w:pPr>
            <w:r>
              <w:rPr>
                <w:rFonts w:ascii="Comfortaa" w:eastAsia="Comfortaa" w:hAnsi="Comfortaa" w:cs="Comfortaa"/>
                <w:i/>
                <w:iCs/>
                <w:color w:val="303030"/>
                <w:sz w:val="21"/>
                <w:szCs w:val="21"/>
                <w:highlight w:val="white"/>
              </w:rPr>
              <w:t>Annual Objective: Create a school environment where the holistic wellbeing of ākonga, whānau, and kaimahi is nurtured and prioritised</w:t>
            </w:r>
          </w:p>
          <w:p w14:paraId="40BF9816" w14:textId="77777777" w:rsidR="0013277B" w:rsidRDefault="0013277B">
            <w:pPr>
              <w:jc w:val="center"/>
              <w:rPr>
                <w:rFonts w:ascii="Comfortaa" w:eastAsia="Comfortaa" w:hAnsi="Comfortaa" w:cs="Comfortaa"/>
                <w:color w:val="303030"/>
                <w:sz w:val="21"/>
                <w:szCs w:val="21"/>
                <w:highlight w:val="white"/>
              </w:rPr>
            </w:pPr>
          </w:p>
        </w:tc>
      </w:tr>
      <w:tr w:rsidR="0013277B" w14:paraId="63760AD6" w14:textId="77777777">
        <w:trPr>
          <w:trHeight w:val="360"/>
        </w:trPr>
        <w:tc>
          <w:tcPr>
            <w:tcW w:w="220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77942B1"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Actions</w:t>
            </w:r>
          </w:p>
        </w:tc>
        <w:tc>
          <w:tcPr>
            <w:tcW w:w="42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2003B45"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What did we achieve?</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DEE9E08"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Evidence</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6317C2F"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Reasons for Variance</w:t>
            </w:r>
          </w:p>
        </w:tc>
      </w:tr>
      <w:tr w:rsidR="0013277B" w14:paraId="185B1AA3" w14:textId="77777777">
        <w:trPr>
          <w:trHeight w:val="2700"/>
        </w:trPr>
        <w:tc>
          <w:tcPr>
            <w:tcW w:w="220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28AA602" w14:textId="77777777" w:rsidR="0013277B" w:rsidRDefault="008B6EC8">
            <w:pP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1. Embed the Te Whare Tapa Whā model into daily practice</w:t>
            </w:r>
          </w:p>
        </w:tc>
        <w:tc>
          <w:tcPr>
            <w:tcW w:w="42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C0F74A4"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The model was integrated as an everyday "way of being" rather than a standalone subject. Staff focus shifted to the holistic child, viewing tamariki through their background and whānau. We also began mapping Te Whare Tapa Whā against our school pou.</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7FA9038"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Raukatauri Music Therapy Report: Students were specifically evaluated using the four taha (domains) to track social and emotional progress.</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27B899D"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Partial Integration: Staff identified that while the model is lived, it isn't always "explicitly taught." Taha Wairua was identified as an area needing more visible work in 2026.</w:t>
            </w:r>
          </w:p>
        </w:tc>
      </w:tr>
      <w:tr w:rsidR="0013277B" w14:paraId="62737D4A" w14:textId="77777777">
        <w:trPr>
          <w:trHeight w:val="2760"/>
        </w:trPr>
        <w:tc>
          <w:tcPr>
            <w:tcW w:w="220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A19A771" w14:textId="77777777" w:rsidR="0013277B" w:rsidRDefault="008B6EC8">
            <w:pP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2. Provide PLD in trauma-informed practice and mental health literacy</w:t>
            </w:r>
          </w:p>
        </w:tc>
        <w:tc>
          <w:tcPr>
            <w:tcW w:w="42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5399E26"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Staff gained a deeper understanding of neurodiversity and trauma. There has been a visible shift in staff culture and a reduction in reactive behaviour incidents. </w:t>
            </w:r>
          </w:p>
          <w:p w14:paraId="4E74FAA2"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The TTK (Tuakan Teina Kaitiaki) mentorship program was successfully used to support high-needs transitions.</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8C00917"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Expert Workshops: </w:t>
            </w:r>
          </w:p>
          <w:p w14:paraId="7A29BB4D"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4 sessions with Gabriel Levy (ASD/Behaviour), RTLB workshops (Sue Louge &amp; Teressa Ah Fook), and neuroscience training with Luke Malcolm. </w:t>
            </w:r>
          </w:p>
          <w:p w14:paraId="2E03743B"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Outside Agency Support: Successful deployment of TTK mentors.</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58ECDA1"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Ongoing Development: While there is a reduction in incidents, maintaining consistency and established plans remains a key area for continued focus.</w:t>
            </w:r>
          </w:p>
        </w:tc>
      </w:tr>
      <w:tr w:rsidR="0013277B" w14:paraId="2E6C8F5D" w14:textId="77777777">
        <w:trPr>
          <w:trHeight w:val="2295"/>
        </w:trPr>
        <w:tc>
          <w:tcPr>
            <w:tcW w:w="220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39A7DFE" w14:textId="77777777" w:rsidR="0013277B" w:rsidRDefault="008B6EC8">
            <w:pP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3. Survey student and staff wellbeing annually</w:t>
            </w:r>
          </w:p>
        </w:tc>
        <w:tc>
          <w:tcPr>
            <w:tcW w:w="42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8E02149"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While formal NZCER surveys were not used, the school maintained a strong focus on informal wellbeing and staff support. </w:t>
            </w:r>
          </w:p>
          <w:p w14:paraId="2969C736"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Staff reported feeling well-supported through the extensive expert PLD provided throughout the year.</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A0C265A"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Professional Narrative: </w:t>
            </w:r>
          </w:p>
          <w:p w14:paraId="1F282C54"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Qualitative feedback from staff indicates a positive shift in school culture and a sense of shared responsibility for high-needs tamariki.</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3395FFD"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Planned but not completed: </w:t>
            </w:r>
          </w:p>
          <w:p w14:paraId="2B246612"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Formal NZCER Wellbeing@School surveys were not conducted in 2025. The school prioritised hands-on PLD and cultural shifts over formalised data collection.</w:t>
            </w:r>
          </w:p>
        </w:tc>
      </w:tr>
      <w:tr w:rsidR="0013277B" w14:paraId="157BB190" w14:textId="77777777">
        <w:trPr>
          <w:trHeight w:val="2820"/>
        </w:trPr>
        <w:tc>
          <w:tcPr>
            <w:tcW w:w="220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5C4BFED" w14:textId="77777777" w:rsidR="0013277B" w:rsidRDefault="008B6EC8">
            <w:pP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lastRenderedPageBreak/>
              <w:t>4. Develop a whānau-centred wellbeing policy</w:t>
            </w:r>
          </w:p>
        </w:tc>
        <w:tc>
          <w:tcPr>
            <w:tcW w:w="42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803921B"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This goal was not fully achieved</w:t>
            </w:r>
            <w:r>
              <w:rPr>
                <w:rFonts w:ascii="Comfortaa" w:eastAsia="Comfortaa" w:hAnsi="Comfortaa" w:cs="Comfortaa"/>
                <w:color w:val="303030"/>
                <w:sz w:val="21"/>
                <w:szCs w:val="21"/>
                <w:highlight w:val="white"/>
              </w:rPr>
              <w:t xml:space="preserve"> in 2025. The school continues to use a standard 'Health' policy which focuses on clinical health (sickness, lethargy, etc.) and staff stress management. However, the Principal consistently prioritises whānau first for staff and their needs in day-to-day practice.</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C08F9AF"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Current Policy Handbook: 'Health' section focusing on pupil physical health and staff stress. School Culture: Leadership prioritisation of whānau needs.</w:t>
            </w:r>
          </w:p>
        </w:tc>
        <w:tc>
          <w:tcPr>
            <w:tcW w:w="472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F5FB3A5"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Policy Alignment Gap: Existing policies have not yet been formalised into a "whānau-centred" framework that reflects the school's vision of </w:t>
            </w:r>
            <w:r>
              <w:rPr>
                <w:rFonts w:ascii="Comfortaa" w:eastAsia="Comfortaa" w:hAnsi="Comfortaa" w:cs="Comfortaa"/>
                <w:i/>
                <w:iCs/>
                <w:color w:val="303030"/>
                <w:sz w:val="21"/>
                <w:szCs w:val="21"/>
                <w:highlight w:val="white"/>
              </w:rPr>
              <w:t>"Manaki tētahi ki tētahi"</w:t>
            </w:r>
            <w:r>
              <w:rPr>
                <w:rFonts w:ascii="Comfortaa" w:eastAsia="Comfortaa" w:hAnsi="Comfortaa" w:cs="Comfortaa"/>
                <w:color w:val="303030"/>
                <w:sz w:val="21"/>
                <w:szCs w:val="21"/>
                <w:highlight w:val="white"/>
              </w:rPr>
              <w:t xml:space="preserve"> (We look after each other).</w:t>
            </w:r>
          </w:p>
        </w:tc>
      </w:tr>
    </w:tbl>
    <w:p w14:paraId="45579517" w14:textId="77777777" w:rsidR="0013277B" w:rsidRDefault="0013277B">
      <w:pPr>
        <w:rPr>
          <w:rFonts w:ascii="Comfortaa" w:eastAsia="Comfortaa" w:hAnsi="Comfortaa" w:cs="Comfortaa"/>
        </w:rPr>
      </w:pPr>
    </w:p>
    <w:tbl>
      <w:tblPr>
        <w:tblStyle w:val="a0"/>
        <w:tblW w:w="15900" w:type="dxa"/>
        <w:tblInd w:w="-165" w:type="dxa"/>
        <w:tblBorders>
          <w:top w:val="single" w:sz="5" w:space="0" w:color="DDE1EB"/>
          <w:left w:val="single" w:sz="5" w:space="0" w:color="DDE1EB"/>
          <w:bottom w:val="single" w:sz="5" w:space="0" w:color="DDE1EB"/>
          <w:right w:val="single" w:sz="5" w:space="0" w:color="DDE1EB"/>
          <w:insideH w:val="single" w:sz="5" w:space="0" w:color="DDE1EB"/>
          <w:insideV w:val="single" w:sz="5" w:space="0" w:color="DDE1EB"/>
        </w:tblBorders>
        <w:tblLayout w:type="fixed"/>
        <w:tblLook w:val="0600" w:firstRow="0" w:lastRow="0" w:firstColumn="0" w:lastColumn="0" w:noHBand="1" w:noVBand="1"/>
      </w:tblPr>
      <w:tblGrid>
        <w:gridCol w:w="1860"/>
        <w:gridCol w:w="3510"/>
        <w:gridCol w:w="3510"/>
        <w:gridCol w:w="3510"/>
        <w:gridCol w:w="3510"/>
      </w:tblGrid>
      <w:tr w:rsidR="0013277B" w14:paraId="44D0345B" w14:textId="77777777">
        <w:trPr>
          <w:trHeight w:val="1035"/>
        </w:trPr>
        <w:tc>
          <w:tcPr>
            <w:tcW w:w="15900" w:type="dxa"/>
            <w:gridSpan w:val="5"/>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BFF5A89"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Strategic Priority 2: Lift Attendance</w:t>
            </w:r>
          </w:p>
          <w:p w14:paraId="1E41290A" w14:textId="77777777" w:rsidR="0013277B" w:rsidRDefault="008B6EC8">
            <w:pPr>
              <w:jc w:val="center"/>
              <w:rPr>
                <w:rFonts w:ascii="Comfortaa" w:eastAsia="Comfortaa" w:hAnsi="Comfortaa" w:cs="Comfortaa"/>
                <w:i/>
                <w:iCs/>
                <w:color w:val="303030"/>
                <w:sz w:val="21"/>
                <w:szCs w:val="21"/>
                <w:highlight w:val="white"/>
              </w:rPr>
            </w:pPr>
            <w:r>
              <w:rPr>
                <w:rFonts w:ascii="Comfortaa" w:eastAsia="Comfortaa" w:hAnsi="Comfortaa" w:cs="Comfortaa"/>
                <w:i/>
                <w:iCs/>
                <w:color w:val="303030"/>
                <w:sz w:val="21"/>
                <w:szCs w:val="21"/>
                <w:highlight w:val="white"/>
              </w:rPr>
              <w:t>Annual Objective: Raise attendance rates by developing responsive, culturally sustaining strategies. Target: All students above 90%</w:t>
            </w:r>
          </w:p>
        </w:tc>
      </w:tr>
      <w:tr w:rsidR="0013277B" w14:paraId="4E4819CB" w14:textId="77777777">
        <w:trPr>
          <w:trHeight w:val="870"/>
        </w:trPr>
        <w:tc>
          <w:tcPr>
            <w:tcW w:w="186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2756B18"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Actions (from 2025 Plan)</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D9A17A3"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What did we achieve? (Outcomes)</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B89B098"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Evidence</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C4882AB"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Reasons for Variance</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4C9D6F5"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Planning for Next Year</w:t>
            </w:r>
          </w:p>
        </w:tc>
      </w:tr>
      <w:tr w:rsidR="0013277B" w14:paraId="39B7543E" w14:textId="77777777">
        <w:trPr>
          <w:trHeight w:val="2730"/>
        </w:trPr>
        <w:tc>
          <w:tcPr>
            <w:tcW w:w="186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F1261B4" w14:textId="77777777" w:rsidR="0013277B" w:rsidRDefault="008B6EC8">
            <w:pP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1. Regularly monitor and report on attendance data</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F3B11E1"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Teams monitored data fortnightly, leading to a massive shift in attendance brackets. </w:t>
            </w:r>
          </w:p>
          <w:p w14:paraId="5829B642"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Most notably, students with &gt;90% attendance more than doubled, from 85 students (23%) in 2024 to 186 students (51%) in 2025.</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341F3CB"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Internal Attendance Data: </w:t>
            </w:r>
          </w:p>
          <w:p w14:paraId="24328937" w14:textId="77777777" w:rsidR="0013277B" w:rsidRDefault="008B6EC8">
            <w:pPr>
              <w:rPr>
                <w:rFonts w:ascii="Comfortaa" w:eastAsia="Comfortaa" w:hAnsi="Comfortaa" w:cs="Comfortaa"/>
                <w:color w:val="303030"/>
                <w:sz w:val="21"/>
                <w:szCs w:val="21"/>
                <w:highlight w:val="white"/>
              </w:rPr>
            </w:pPr>
            <w:r>
              <w:rPr>
                <w:rFonts w:ascii="Cardo" w:eastAsia="Cardo" w:hAnsi="Cardo" w:cs="Cardo"/>
                <w:color w:val="303030"/>
                <w:sz w:val="21"/>
                <w:szCs w:val="21"/>
                <w:highlight w:val="white"/>
              </w:rPr>
              <w:t>&lt;70%: 22% → 14%</w:t>
            </w:r>
          </w:p>
          <w:p w14:paraId="41C6CDFC" w14:textId="77777777" w:rsidR="0013277B" w:rsidRDefault="008B6EC8">
            <w:pPr>
              <w:rPr>
                <w:rFonts w:ascii="Comfortaa" w:eastAsia="Comfortaa" w:hAnsi="Comfortaa" w:cs="Comfortaa"/>
                <w:color w:val="303030"/>
                <w:sz w:val="21"/>
                <w:szCs w:val="21"/>
                <w:highlight w:val="white"/>
              </w:rPr>
            </w:pPr>
            <w:r>
              <w:rPr>
                <w:rFonts w:ascii="Cardo" w:eastAsia="Cardo" w:hAnsi="Cardo" w:cs="Cardo"/>
                <w:color w:val="303030"/>
                <w:sz w:val="21"/>
                <w:szCs w:val="21"/>
                <w:highlight w:val="white"/>
              </w:rPr>
              <w:t>70-80%: 20% → 12%</w:t>
            </w:r>
          </w:p>
          <w:p w14:paraId="02D90F92" w14:textId="77777777" w:rsidR="0013277B" w:rsidRDefault="008B6EC8">
            <w:pPr>
              <w:rPr>
                <w:rFonts w:ascii="Comfortaa" w:eastAsia="Comfortaa" w:hAnsi="Comfortaa" w:cs="Comfortaa"/>
                <w:color w:val="303030"/>
                <w:sz w:val="21"/>
                <w:szCs w:val="21"/>
                <w:highlight w:val="white"/>
              </w:rPr>
            </w:pPr>
            <w:r>
              <w:rPr>
                <w:rFonts w:ascii="Cardo" w:eastAsia="Cardo" w:hAnsi="Cardo" w:cs="Cardo"/>
                <w:color w:val="303030"/>
                <w:sz w:val="21"/>
                <w:szCs w:val="21"/>
                <w:highlight w:val="white"/>
              </w:rPr>
              <w:t>80-90%: 34% → 23%</w:t>
            </w:r>
          </w:p>
          <w:p w14:paraId="5C371167" w14:textId="77777777" w:rsidR="0013277B" w:rsidRDefault="008B6EC8">
            <w:pPr>
              <w:rPr>
                <w:rFonts w:ascii="Comfortaa" w:eastAsia="Comfortaa" w:hAnsi="Comfortaa" w:cs="Comfortaa"/>
                <w:color w:val="303030"/>
                <w:sz w:val="21"/>
                <w:szCs w:val="21"/>
                <w:highlight w:val="white"/>
              </w:rPr>
            </w:pPr>
            <w:r>
              <w:rPr>
                <w:rFonts w:ascii="Cardo" w:eastAsia="Cardo" w:hAnsi="Cardo" w:cs="Cardo"/>
                <w:color w:val="303030"/>
                <w:sz w:val="21"/>
                <w:szCs w:val="21"/>
                <w:highlight w:val="white"/>
              </w:rPr>
              <w:t xml:space="preserve"> &gt;90%: 23% → 51%</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7A3938E"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Success without External Services: The school achieved these results internally without engaging external truancy services, relying instead on team-led monitoring and follow-ups.</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9609815"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Maintain Momentum: Continue fortnightly monitoring and reporting cycles, which have proven highly effective.</w:t>
            </w:r>
          </w:p>
        </w:tc>
      </w:tr>
      <w:tr w:rsidR="0013277B" w14:paraId="2D229943" w14:textId="77777777">
        <w:trPr>
          <w:trHeight w:val="2190"/>
        </w:trPr>
        <w:tc>
          <w:tcPr>
            <w:tcW w:w="186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927969B" w14:textId="77777777" w:rsidR="0013277B" w:rsidRDefault="008B6EC8">
            <w:pP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lastRenderedPageBreak/>
              <w:t>2. Establish personalised plans and engage with whānau</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EC9881C"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Teams conducted regular follow-ups, hui, and home visits to address barriers. Weekly emailed attendance reports</w:t>
            </w:r>
            <w:r>
              <w:rPr>
                <w:rFonts w:ascii="Comfortaa" w:eastAsia="Comfortaa" w:hAnsi="Comfortaa" w:cs="Comfortaa"/>
                <w:color w:val="303030"/>
                <w:sz w:val="21"/>
                <w:szCs w:val="21"/>
                <w:highlight w:val="white"/>
              </w:rPr>
              <w:t xml:space="preserve"> provided parents with clear instructions and increased transparency.</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4775ECE"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Communication Logs: </w:t>
            </w:r>
          </w:p>
          <w:p w14:paraId="527CED5C"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Weekly emailed reports to parents and regular notices sent home.</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DAACB2D"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 xml:space="preserve">High Impact of Direct Engagement: </w:t>
            </w:r>
          </w:p>
          <w:p w14:paraId="3C412E47"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The personalised approach and increased communication frequency built stronger whānau-school partnerships.</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B9924B9"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Deepen Whānau Links: Continue with open communication and whanau hui as the primary method for resolving attendance barriers.</w:t>
            </w:r>
          </w:p>
        </w:tc>
      </w:tr>
      <w:tr w:rsidR="0013277B" w14:paraId="1E40FC00" w14:textId="77777777">
        <w:trPr>
          <w:trHeight w:val="2190"/>
        </w:trPr>
        <w:tc>
          <w:tcPr>
            <w:tcW w:w="186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35E60D4" w14:textId="77777777" w:rsidR="0013277B" w:rsidRDefault="008B6EC8">
            <w:pP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3. Celebrate and acknowledge regular attendance</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6B57569"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School-wide rewards were implemented to celebrate tamariki achieving 100% attendance, fostering a positive culture around being at school.</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A663987"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Reward Records:</w:t>
            </w:r>
            <w:r>
              <w:rPr>
                <w:rFonts w:ascii="Comfortaa" w:eastAsia="Comfortaa" w:hAnsi="Comfortaa" w:cs="Comfortaa"/>
                <w:color w:val="303030"/>
                <w:sz w:val="21"/>
                <w:szCs w:val="21"/>
                <w:highlight w:val="white"/>
              </w:rPr>
              <w:t xml:space="preserve"> Documentation of 100% attendance acknowledgements and student participation.</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EB9B79A"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Positive Reinforcement: Shifting focus to celebration helped incentivise students who may have previously been in lower attendance brackets.</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5C55455"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Refine Incentives: Review reward structures to ensure they remain engaging for all year levels.</w:t>
            </w:r>
          </w:p>
        </w:tc>
      </w:tr>
      <w:tr w:rsidR="0013277B" w14:paraId="684064E3" w14:textId="77777777">
        <w:trPr>
          <w:trHeight w:val="2355"/>
        </w:trPr>
        <w:tc>
          <w:tcPr>
            <w:tcW w:w="186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E104B8A" w14:textId="77777777" w:rsidR="0013277B" w:rsidRDefault="008B6EC8">
            <w:pP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4. Provide transport support (Van service)</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22EC82C"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The school purchased a third van, enabling door-to-door pick-ups and drop-offs to directly remove transport as a barrier for high-needs tamariki.</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7C20E10"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Fleet Records: Receipt and deployment of the 3rd school van for daily routes.</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AA239A1"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Removing Physical Barriers: Providing a reliable transport solution was a key factor in moving students from the &lt;70% and 70-80% brackets into higher attendance categories.</w:t>
            </w:r>
          </w:p>
        </w:tc>
        <w:tc>
          <w:tcPr>
            <w:tcW w:w="351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C89A9B6" w14:textId="77777777" w:rsidR="0013277B" w:rsidRDefault="008B6EC8">
            <w:pPr>
              <w:rPr>
                <w:rFonts w:ascii="Comfortaa" w:eastAsia="Comfortaa" w:hAnsi="Comfortaa" w:cs="Comfortaa"/>
                <w:color w:val="303030"/>
                <w:sz w:val="21"/>
                <w:szCs w:val="21"/>
                <w:highlight w:val="white"/>
              </w:rPr>
            </w:pPr>
            <w:r>
              <w:rPr>
                <w:rFonts w:ascii="Comfortaa" w:eastAsia="Comfortaa" w:hAnsi="Comfortaa" w:cs="Comfortaa"/>
                <w:color w:val="303030"/>
                <w:sz w:val="21"/>
                <w:szCs w:val="21"/>
                <w:highlight w:val="white"/>
              </w:rPr>
              <w:t>Resource Sustainability: Ensure ongoing funding for van maintenance and fuel to keep this vital service running.</w:t>
            </w:r>
          </w:p>
        </w:tc>
      </w:tr>
    </w:tbl>
    <w:p w14:paraId="096B3408" w14:textId="77777777" w:rsidR="0013277B" w:rsidRDefault="0013277B">
      <w:pPr>
        <w:rPr>
          <w:rFonts w:ascii="Comfortaa" w:eastAsia="Comfortaa" w:hAnsi="Comfortaa" w:cs="Comfortaa"/>
        </w:rPr>
      </w:pPr>
    </w:p>
    <w:tbl>
      <w:tblPr>
        <w:tblStyle w:val="a1"/>
        <w:tblW w:w="15870" w:type="dxa"/>
        <w:tblInd w:w="-165" w:type="dxa"/>
        <w:tblBorders>
          <w:top w:val="single" w:sz="5" w:space="0" w:color="DDE1EB"/>
          <w:left w:val="single" w:sz="5" w:space="0" w:color="DDE1EB"/>
          <w:bottom w:val="single" w:sz="5" w:space="0" w:color="DDE1EB"/>
          <w:right w:val="single" w:sz="5" w:space="0" w:color="DDE1EB"/>
          <w:insideH w:val="single" w:sz="5" w:space="0" w:color="DDE1EB"/>
          <w:insideV w:val="single" w:sz="5" w:space="0" w:color="DDE1EB"/>
        </w:tblBorders>
        <w:tblLayout w:type="fixed"/>
        <w:tblLook w:val="0600" w:firstRow="0" w:lastRow="0" w:firstColumn="0" w:lastColumn="0" w:noHBand="1" w:noVBand="1"/>
      </w:tblPr>
      <w:tblGrid>
        <w:gridCol w:w="2115"/>
        <w:gridCol w:w="3000"/>
        <w:gridCol w:w="3585"/>
        <w:gridCol w:w="3585"/>
        <w:gridCol w:w="3585"/>
      </w:tblGrid>
      <w:tr w:rsidR="0013277B" w14:paraId="4B491BDD" w14:textId="77777777">
        <w:trPr>
          <w:trHeight w:val="1175"/>
        </w:trPr>
        <w:tc>
          <w:tcPr>
            <w:tcW w:w="15870" w:type="dxa"/>
            <w:gridSpan w:val="5"/>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0B7C908"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Strategic Priority 3: Trauma-Informed Practice</w:t>
            </w:r>
          </w:p>
          <w:p w14:paraId="55A8259A" w14:textId="77777777" w:rsidR="0013277B" w:rsidRDefault="008B6EC8">
            <w:pPr>
              <w:jc w:val="center"/>
              <w:rPr>
                <w:rFonts w:ascii="Comfortaa" w:eastAsia="Comfortaa" w:hAnsi="Comfortaa" w:cs="Comfortaa"/>
                <w:i/>
                <w:iCs/>
                <w:color w:val="303030"/>
                <w:sz w:val="21"/>
                <w:szCs w:val="21"/>
                <w:highlight w:val="white"/>
              </w:rPr>
            </w:pPr>
            <w:r>
              <w:rPr>
                <w:rFonts w:ascii="Comfortaa" w:eastAsia="Comfortaa" w:hAnsi="Comfortaa" w:cs="Comfortaa"/>
                <w:i/>
                <w:iCs/>
                <w:color w:val="303030"/>
                <w:sz w:val="21"/>
                <w:szCs w:val="21"/>
                <w:highlight w:val="white"/>
              </w:rPr>
              <w:t>Annual Objective: Build staff capacity in trauma-informed education to create a safe, predictable, and inclusive learning environment</w:t>
            </w:r>
          </w:p>
          <w:p w14:paraId="2EB75BCA" w14:textId="77777777" w:rsidR="0013277B" w:rsidRDefault="0013277B">
            <w:pPr>
              <w:jc w:val="center"/>
              <w:rPr>
                <w:rFonts w:ascii="Comfortaa" w:eastAsia="Comfortaa" w:hAnsi="Comfortaa" w:cs="Comfortaa"/>
                <w:color w:val="303030"/>
                <w:sz w:val="21"/>
                <w:szCs w:val="21"/>
              </w:rPr>
            </w:pPr>
          </w:p>
        </w:tc>
      </w:tr>
      <w:tr w:rsidR="0013277B" w14:paraId="2047F60C" w14:textId="77777777">
        <w:trPr>
          <w:trHeight w:val="1175"/>
        </w:trPr>
        <w:tc>
          <w:tcPr>
            <w:tcW w:w="211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EBED210"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Actions (from 2025 Plan)</w:t>
            </w:r>
          </w:p>
        </w:tc>
        <w:tc>
          <w:tcPr>
            <w:tcW w:w="300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98D956B"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What did we achieve? (Outcomes)</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7A9E90A"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Evidence</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C5DDCD4"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Reasons for Variance</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7ED93B2"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Planning for Next Year</w:t>
            </w:r>
          </w:p>
        </w:tc>
      </w:tr>
      <w:tr w:rsidR="0013277B" w14:paraId="43177B52" w14:textId="77777777">
        <w:trPr>
          <w:trHeight w:val="2340"/>
        </w:trPr>
        <w:tc>
          <w:tcPr>
            <w:tcW w:w="211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3B6F0CC"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lastRenderedPageBreak/>
              <w:t>1. Incorporate trauma-informed strategies into classroom practices</w:t>
            </w:r>
          </w:p>
        </w:tc>
        <w:tc>
          <w:tcPr>
            <w:tcW w:w="300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C406BB2"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We established a school-wide non-punitive approach</w:t>
            </w:r>
            <w:r>
              <w:rPr>
                <w:rFonts w:ascii="Comfortaa" w:eastAsia="Comfortaa" w:hAnsi="Comfortaa" w:cs="Comfortaa"/>
                <w:color w:val="303030"/>
                <w:sz w:val="21"/>
                <w:szCs w:val="21"/>
              </w:rPr>
              <w:t xml:space="preserve"> to behaviour. Staff use specific de-escalation mindsets: under-reacting to incidents, stressing the positives of a child's character, and expecting correct choices rather than forcing them.</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E705E3C"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Internal Behaviour Guidelines: The school's "standard practice" document outlining the shift from punitive to relational responses.</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7DC0414"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Culture Shift: Moving away from traditional punitive measures requires constant staff reflection, but it has directly contributed to a calmer school environment.</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E955CD6"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Embed De-escalation Scripts: Continue to refine the "no one answer" approach, ensuring all new staff are inducted into these specific relational strategies.</w:t>
            </w:r>
          </w:p>
        </w:tc>
      </w:tr>
      <w:tr w:rsidR="0013277B" w14:paraId="4BF11BE1" w14:textId="77777777">
        <w:trPr>
          <w:trHeight w:val="2715"/>
        </w:trPr>
        <w:tc>
          <w:tcPr>
            <w:tcW w:w="211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6E2E31C"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2. Embed relational approaches and de-escalation strategies</w:t>
            </w:r>
          </w:p>
        </w:tc>
        <w:tc>
          <w:tcPr>
            <w:tcW w:w="300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92F9FB5"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Classroom practice now focuses on "knowing the child" as the primary tool for management. The use of time-out areas and keeping both caregivers and designated teachers "in the loop" ensures a wraparound support system for every incident.</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30ECA61"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Music Therapy Report: Evidence of students building distress tolerance and emotion regulation in safe, structured environments. Incident Logs: showing the reduction in reactive incidents.</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976CD2B"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Handling Major Issues: </w:t>
            </w:r>
          </w:p>
          <w:p w14:paraId="3DA9D3F9"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Being a non-punitive school means staff must remain secondary to the resolution process if an issue is passed on, which is a high-level professional skill.</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735B9C5"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Support for Staff: </w:t>
            </w:r>
          </w:p>
          <w:p w14:paraId="23248AE4"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Provide ongoing check-ins for staff who are managing "major issues" to ensure their own wellbeing remains high while maintaining the non-punitive stance.</w:t>
            </w:r>
          </w:p>
        </w:tc>
      </w:tr>
      <w:tr w:rsidR="0013277B" w14:paraId="2841F8E8" w14:textId="77777777">
        <w:trPr>
          <w:trHeight w:val="2715"/>
        </w:trPr>
        <w:tc>
          <w:tcPr>
            <w:tcW w:w="211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BC7526A"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3. Review behaviour and pastoral care policies through this lens</w:t>
            </w:r>
          </w:p>
        </w:tc>
        <w:tc>
          <w:tcPr>
            <w:tcW w:w="300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8B197E2"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The school reviewed and updated its Behaviour and Pastoral Care policies to reflect our trauma-informed approach and the integration of our pou and school values. This work supports our shift from traditional punitive responses to practices that prioritise restorative conversations, relationship building, and whānau engagement when </w:t>
            </w:r>
            <w:r>
              <w:rPr>
                <w:rFonts w:ascii="Comfortaa" w:eastAsia="Comfortaa" w:hAnsi="Comfortaa" w:cs="Comfortaa"/>
                <w:color w:val="303030"/>
                <w:sz w:val="21"/>
                <w:szCs w:val="21"/>
              </w:rPr>
              <w:lastRenderedPageBreak/>
              <w:t>addressing behaviour and wellbeing concerns.</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01C77D1"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lastRenderedPageBreak/>
              <w:t>Staff and whānau feedback indicates strong confidence in the school’s approach to managing incidents. Concerns, including bullying and serious behaviour incidents, are addressed promptly through open communication, support, and collaborative problem solving. These practices are well embedded in the school culture and are reflected in the consistent use of restorative approaches and whānau engagement.</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F2D680A"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Restorative and trauma-informed practices were already well established in everyday practice across the school. During the year, the Behaviour and Pastoral Care policies were formally reviewed and updated to ensure the written documentation accurately reflected these practices and the integration of our pou framework. This review ensured alignment between policy and the approaches </w:t>
            </w:r>
            <w:r>
              <w:rPr>
                <w:rFonts w:ascii="Comfortaa" w:eastAsia="Comfortaa" w:hAnsi="Comfortaa" w:cs="Comfortaa"/>
                <w:color w:val="303030"/>
                <w:sz w:val="21"/>
                <w:szCs w:val="21"/>
              </w:rPr>
              <w:lastRenderedPageBreak/>
              <w:t>already embedded in the school’s culture.</w:t>
            </w:r>
          </w:p>
        </w:tc>
        <w:tc>
          <w:tcPr>
            <w:tcW w:w="358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BFD1CAE"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lastRenderedPageBreak/>
              <w:t>Continue embedding the revised Behaviour and Pastoral Care policies across the school and ensuring they remain aligned with trauma-informed practice. Ongoing professional learning and reflection will support staff to maintain consistent restorative approaches and strengthen partnerships with whānau when responding to behaviour and wellbeing needs.</w:t>
            </w:r>
          </w:p>
        </w:tc>
      </w:tr>
    </w:tbl>
    <w:p w14:paraId="05F6B0E1" w14:textId="77777777" w:rsidR="0013277B" w:rsidRDefault="0013277B">
      <w:pPr>
        <w:rPr>
          <w:rFonts w:ascii="Comfortaa" w:eastAsia="Comfortaa" w:hAnsi="Comfortaa" w:cs="Comfortaa"/>
        </w:rPr>
      </w:pPr>
    </w:p>
    <w:p w14:paraId="63EC5DFC" w14:textId="77777777" w:rsidR="0013277B" w:rsidRDefault="0013277B">
      <w:pPr>
        <w:rPr>
          <w:rFonts w:ascii="Comfortaa" w:eastAsia="Comfortaa" w:hAnsi="Comfortaa" w:cs="Comfortaa"/>
        </w:rPr>
      </w:pPr>
    </w:p>
    <w:p w14:paraId="7DDE79DD" w14:textId="77777777" w:rsidR="0013277B" w:rsidRDefault="0013277B">
      <w:pPr>
        <w:rPr>
          <w:rFonts w:ascii="Comfortaa" w:eastAsia="Comfortaa" w:hAnsi="Comfortaa" w:cs="Comfortaa"/>
        </w:rPr>
      </w:pPr>
    </w:p>
    <w:p w14:paraId="5AF61403" w14:textId="77777777" w:rsidR="0013277B" w:rsidRDefault="0013277B">
      <w:pPr>
        <w:rPr>
          <w:rFonts w:ascii="Comfortaa" w:eastAsia="Comfortaa" w:hAnsi="Comfortaa" w:cs="Comfortaa"/>
        </w:rPr>
      </w:pPr>
    </w:p>
    <w:p w14:paraId="2D6A9354" w14:textId="77777777" w:rsidR="0013277B" w:rsidRDefault="0013277B">
      <w:pPr>
        <w:rPr>
          <w:rFonts w:ascii="Comfortaa" w:eastAsia="Comfortaa" w:hAnsi="Comfortaa" w:cs="Comfortaa"/>
        </w:rPr>
      </w:pPr>
    </w:p>
    <w:p w14:paraId="6CA2C7FE" w14:textId="77777777" w:rsidR="0013277B" w:rsidRDefault="0013277B">
      <w:pPr>
        <w:rPr>
          <w:rFonts w:ascii="Comfortaa" w:eastAsia="Comfortaa" w:hAnsi="Comfortaa" w:cs="Comfortaa"/>
        </w:rPr>
      </w:pPr>
    </w:p>
    <w:p w14:paraId="3BDF4A3E" w14:textId="77777777" w:rsidR="0013277B" w:rsidRDefault="0013277B">
      <w:pPr>
        <w:rPr>
          <w:rFonts w:ascii="Comfortaa" w:eastAsia="Comfortaa" w:hAnsi="Comfortaa" w:cs="Comfortaa"/>
        </w:rPr>
      </w:pPr>
    </w:p>
    <w:p w14:paraId="003006D1" w14:textId="77777777" w:rsidR="0013277B" w:rsidRDefault="0013277B">
      <w:pPr>
        <w:rPr>
          <w:rFonts w:ascii="Comfortaa" w:eastAsia="Comfortaa" w:hAnsi="Comfortaa" w:cs="Comfortaa"/>
        </w:rPr>
      </w:pPr>
    </w:p>
    <w:p w14:paraId="4D822EAE" w14:textId="77777777" w:rsidR="0013277B" w:rsidRDefault="0013277B">
      <w:pPr>
        <w:rPr>
          <w:rFonts w:ascii="Comfortaa" w:eastAsia="Comfortaa" w:hAnsi="Comfortaa" w:cs="Comfortaa"/>
        </w:rPr>
      </w:pPr>
    </w:p>
    <w:p w14:paraId="1645B03E" w14:textId="77777777" w:rsidR="0013277B" w:rsidRDefault="0013277B">
      <w:pPr>
        <w:rPr>
          <w:rFonts w:ascii="Comfortaa" w:eastAsia="Comfortaa" w:hAnsi="Comfortaa" w:cs="Comfortaa"/>
        </w:rPr>
      </w:pPr>
    </w:p>
    <w:tbl>
      <w:tblPr>
        <w:tblStyle w:val="a2"/>
        <w:tblW w:w="16050" w:type="dxa"/>
        <w:tblInd w:w="-240" w:type="dxa"/>
        <w:tblBorders>
          <w:top w:val="single" w:sz="5" w:space="0" w:color="DDE1EB"/>
          <w:left w:val="single" w:sz="5" w:space="0" w:color="DDE1EB"/>
          <w:bottom w:val="single" w:sz="5" w:space="0" w:color="DDE1EB"/>
          <w:right w:val="single" w:sz="5" w:space="0" w:color="DDE1EB"/>
          <w:insideH w:val="single" w:sz="5" w:space="0" w:color="DDE1EB"/>
          <w:insideV w:val="single" w:sz="5" w:space="0" w:color="DDE1EB"/>
        </w:tblBorders>
        <w:tblLayout w:type="fixed"/>
        <w:tblLook w:val="0600" w:firstRow="0" w:lastRow="0" w:firstColumn="0" w:lastColumn="0" w:noHBand="1" w:noVBand="1"/>
      </w:tblPr>
      <w:tblGrid>
        <w:gridCol w:w="2250"/>
        <w:gridCol w:w="3450"/>
        <w:gridCol w:w="3450"/>
        <w:gridCol w:w="3450"/>
        <w:gridCol w:w="3450"/>
      </w:tblGrid>
      <w:tr w:rsidR="0013277B" w14:paraId="7E56FA6B" w14:textId="77777777">
        <w:trPr>
          <w:trHeight w:val="1007"/>
        </w:trPr>
        <w:tc>
          <w:tcPr>
            <w:tcW w:w="16050" w:type="dxa"/>
            <w:gridSpan w:val="5"/>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A86F306"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Strategic Priority 4: Pou Awareness and Understanding</w:t>
            </w:r>
          </w:p>
          <w:p w14:paraId="7625DF01" w14:textId="77777777" w:rsidR="0013277B" w:rsidRDefault="008B6EC8">
            <w:pPr>
              <w:jc w:val="center"/>
              <w:rPr>
                <w:rFonts w:ascii="Comfortaa" w:eastAsia="Comfortaa" w:hAnsi="Comfortaa" w:cs="Comfortaa"/>
                <w:i/>
                <w:iCs/>
                <w:color w:val="303030"/>
                <w:sz w:val="21"/>
                <w:szCs w:val="21"/>
                <w:highlight w:val="white"/>
              </w:rPr>
            </w:pPr>
            <w:r>
              <w:rPr>
                <w:rFonts w:ascii="Comfortaa" w:eastAsia="Comfortaa" w:hAnsi="Comfortaa" w:cs="Comfortaa"/>
                <w:i/>
                <w:iCs/>
                <w:color w:val="303030"/>
                <w:sz w:val="21"/>
                <w:szCs w:val="21"/>
                <w:highlight w:val="white"/>
              </w:rPr>
              <w:t>Annual Objective: Deepen collective understanding and shared ownership of our school pou across staff, students, and community</w:t>
            </w:r>
          </w:p>
          <w:p w14:paraId="25E9218D" w14:textId="77777777" w:rsidR="0013277B" w:rsidRDefault="0013277B">
            <w:pPr>
              <w:jc w:val="center"/>
              <w:rPr>
                <w:rFonts w:ascii="Comfortaa" w:eastAsia="Comfortaa" w:hAnsi="Comfortaa" w:cs="Comfortaa"/>
                <w:color w:val="303030"/>
                <w:sz w:val="21"/>
                <w:szCs w:val="21"/>
                <w:highlight w:val="white"/>
              </w:rPr>
            </w:pPr>
          </w:p>
          <w:p w14:paraId="7BB8DF2F" w14:textId="77777777" w:rsidR="0013277B" w:rsidRDefault="0013277B">
            <w:pPr>
              <w:jc w:val="center"/>
              <w:rPr>
                <w:rFonts w:ascii="Comfortaa" w:eastAsia="Comfortaa" w:hAnsi="Comfortaa" w:cs="Comfortaa"/>
                <w:color w:val="303030"/>
                <w:sz w:val="21"/>
                <w:szCs w:val="21"/>
              </w:rPr>
            </w:pPr>
          </w:p>
        </w:tc>
      </w:tr>
      <w:tr w:rsidR="0013277B" w14:paraId="6BC2916D" w14:textId="77777777">
        <w:trPr>
          <w:trHeight w:val="765"/>
        </w:trPr>
        <w:tc>
          <w:tcPr>
            <w:tcW w:w="22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9D1CDE2"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Actions (from 2025 Plan)</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0D45069"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What did we achieve? (Outcomes)</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C1DA8E8"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Evidence</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8E5A12C"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Reasons for Variance</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C650D79"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Planning for Next Year</w:t>
            </w:r>
          </w:p>
        </w:tc>
      </w:tr>
      <w:tr w:rsidR="0013277B" w14:paraId="01B7D601" w14:textId="77777777">
        <w:trPr>
          <w:trHeight w:val="3255"/>
        </w:trPr>
        <w:tc>
          <w:tcPr>
            <w:tcW w:w="22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25204D3"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lastRenderedPageBreak/>
              <w:t>1. Change the Auraki Graduate Profile to focus on Pou</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F8FE0CE"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The entire school adopted the four Pou (Whanaungatanga, Hihiko, Mātauranga Māori, and Rangatiratanga), transitioning away from the NZC Key Competencies. These were successfully adopted from te whānau o Te Ahurutanga, where they had proven effective for many years.</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DB003A0"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Staff PLD Records: Documentation of thorough workshops held to ensure all kaimahi understood the depth and meaning of each Pou.</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487BADC"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High Success Rate: The model's prior success in Te Ahurutanga allowed for a smoother transition across the rest of the school.</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6186A6E"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Induction for New Staff: As new kaimahi join the school, we must continue to provide targeted PLD to maintain a shared understanding of the Pou.</w:t>
            </w:r>
          </w:p>
        </w:tc>
      </w:tr>
      <w:tr w:rsidR="0013277B" w14:paraId="4A2B083A" w14:textId="77777777">
        <w:trPr>
          <w:trHeight w:val="2640"/>
        </w:trPr>
        <w:tc>
          <w:tcPr>
            <w:tcW w:w="22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499A841"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2. Redesign assessment and reporting to reflect Pou</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5D86876"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All student reports were changed to reflect the four Pou. Kaiako now provides specific comments on student progress and engagement across all four domains, making the reports more culturally grounded and meaningful for whānau.</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A2C2CBC"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New Report Format: </w:t>
            </w:r>
          </w:p>
          <w:p w14:paraId="7BBCE386"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Copies of redesigned Term 1 and Term 3 reports featuring kaiako commentary for each Pou.</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8718F38"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Enhanced Feedback: </w:t>
            </w:r>
          </w:p>
          <w:p w14:paraId="5790190E"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Moving to Pou-based reporting provided a more holistic view of student success than traditional academic-only reporting.</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E1E1363"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Whānau Review:</w:t>
            </w:r>
          </w:p>
          <w:p w14:paraId="72DAACFB"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In 2026, we will gather formal feedback from whānau on the new reporting style to see if it has deepened their engagement with student goals.</w:t>
            </w:r>
          </w:p>
        </w:tc>
      </w:tr>
      <w:tr w:rsidR="0013277B" w14:paraId="00F2F582" w14:textId="77777777">
        <w:trPr>
          <w:trHeight w:val="1740"/>
        </w:trPr>
        <w:tc>
          <w:tcPr>
            <w:tcW w:w="22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FE77A66"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3. Integrate Pou into induction and classroom learning</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E4F9963"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The Pou are now the foundation of classroom life</w:t>
            </w:r>
            <w:r>
              <w:rPr>
                <w:rFonts w:ascii="Comfortaa" w:eastAsia="Comfortaa" w:hAnsi="Comfortaa" w:cs="Comfortaa"/>
                <w:color w:val="303030"/>
                <w:sz w:val="21"/>
                <w:szCs w:val="21"/>
              </w:rPr>
              <w:t>, used in daily recognition systems and integrated into the school's cultural narrative.</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EBC2807"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Classroom Environment: Visual displays and the use of Pou-based certificates for student recognition.</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358962B"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Consistent Messaging: By using the same four Pou across all teams, the school has created a unified language of learning for all tamariki.</w:t>
            </w:r>
          </w:p>
        </w:tc>
        <w:tc>
          <w:tcPr>
            <w:tcW w:w="345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885D2C1"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Student Articulation: Focus on supporting tamariki to more confidently articulate what each Pou looks like in their own learning journey.</w:t>
            </w:r>
          </w:p>
        </w:tc>
      </w:tr>
    </w:tbl>
    <w:p w14:paraId="03C122F8" w14:textId="77777777" w:rsidR="0013277B" w:rsidRDefault="0013277B">
      <w:pPr>
        <w:rPr>
          <w:rFonts w:ascii="Comfortaa" w:eastAsia="Comfortaa" w:hAnsi="Comfortaa" w:cs="Comfortaa"/>
        </w:rPr>
      </w:pPr>
    </w:p>
    <w:p w14:paraId="2367340D" w14:textId="77777777" w:rsidR="0013277B" w:rsidRDefault="0013277B">
      <w:pPr>
        <w:rPr>
          <w:rFonts w:ascii="Comfortaa" w:eastAsia="Comfortaa" w:hAnsi="Comfortaa" w:cs="Comfortaa"/>
        </w:rPr>
      </w:pPr>
    </w:p>
    <w:p w14:paraId="49449F49" w14:textId="77777777" w:rsidR="0013277B" w:rsidRDefault="0013277B">
      <w:pPr>
        <w:rPr>
          <w:rFonts w:ascii="Comfortaa" w:eastAsia="Comfortaa" w:hAnsi="Comfortaa" w:cs="Comfortaa"/>
        </w:rPr>
      </w:pPr>
    </w:p>
    <w:tbl>
      <w:tblPr>
        <w:tblStyle w:val="a3"/>
        <w:tblW w:w="16125" w:type="dxa"/>
        <w:tblInd w:w="-240" w:type="dxa"/>
        <w:tblBorders>
          <w:top w:val="single" w:sz="5" w:space="0" w:color="DDE1EB"/>
          <w:left w:val="single" w:sz="5" w:space="0" w:color="DDE1EB"/>
          <w:bottom w:val="single" w:sz="5" w:space="0" w:color="DDE1EB"/>
          <w:right w:val="single" w:sz="5" w:space="0" w:color="DDE1EB"/>
          <w:insideH w:val="single" w:sz="5" w:space="0" w:color="DDE1EB"/>
          <w:insideV w:val="single" w:sz="5" w:space="0" w:color="DDE1EB"/>
        </w:tblBorders>
        <w:tblLayout w:type="fixed"/>
        <w:tblLook w:val="0600" w:firstRow="0" w:lastRow="0" w:firstColumn="0" w:lastColumn="0" w:noHBand="1" w:noVBand="1"/>
      </w:tblPr>
      <w:tblGrid>
        <w:gridCol w:w="2145"/>
        <w:gridCol w:w="3495"/>
        <w:gridCol w:w="3495"/>
        <w:gridCol w:w="3495"/>
        <w:gridCol w:w="3495"/>
      </w:tblGrid>
      <w:tr w:rsidR="0013277B" w14:paraId="5674E843" w14:textId="77777777">
        <w:trPr>
          <w:trHeight w:val="945"/>
        </w:trPr>
        <w:tc>
          <w:tcPr>
            <w:tcW w:w="16125" w:type="dxa"/>
            <w:gridSpan w:val="5"/>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89F95C9"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t>Strategic Priority 5: Localised Curriculum Development</w:t>
            </w:r>
          </w:p>
          <w:p w14:paraId="4D423582" w14:textId="77777777" w:rsidR="0013277B" w:rsidRDefault="008B6EC8">
            <w:pPr>
              <w:jc w:val="center"/>
              <w:rPr>
                <w:rFonts w:ascii="Comfortaa" w:eastAsia="Comfortaa" w:hAnsi="Comfortaa" w:cs="Comfortaa"/>
                <w:i/>
                <w:iCs/>
                <w:color w:val="303030"/>
                <w:sz w:val="21"/>
                <w:szCs w:val="21"/>
                <w:highlight w:val="white"/>
              </w:rPr>
            </w:pPr>
            <w:r>
              <w:rPr>
                <w:rFonts w:ascii="Comfortaa" w:eastAsia="Comfortaa" w:hAnsi="Comfortaa" w:cs="Comfortaa"/>
                <w:i/>
                <w:iCs/>
                <w:color w:val="303030"/>
                <w:sz w:val="21"/>
                <w:szCs w:val="21"/>
                <w:highlight w:val="white"/>
              </w:rPr>
              <w:t>Annual Objective: Develop a responsive and authentic curriculum that reflects our pou, graduate profile, and what matters to our learners and community.</w:t>
            </w:r>
          </w:p>
          <w:p w14:paraId="000B8EE0" w14:textId="77777777" w:rsidR="0013277B" w:rsidRDefault="0013277B">
            <w:pPr>
              <w:jc w:val="center"/>
              <w:rPr>
                <w:rFonts w:ascii="Comfortaa" w:eastAsia="Comfortaa" w:hAnsi="Comfortaa" w:cs="Comfortaa"/>
                <w:color w:val="303030"/>
                <w:sz w:val="21"/>
                <w:szCs w:val="21"/>
              </w:rPr>
            </w:pPr>
          </w:p>
        </w:tc>
      </w:tr>
      <w:tr w:rsidR="0013277B" w14:paraId="402B006A" w14:textId="77777777">
        <w:trPr>
          <w:trHeight w:val="795"/>
        </w:trPr>
        <w:tc>
          <w:tcPr>
            <w:tcW w:w="21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DFF37B8"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lastRenderedPageBreak/>
              <w:t>Actions (from 2025 Plan)</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3096C1B"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What did we achieve? (Outcomes)</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B850E9E"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Evidence</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A8E8FD2"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Reasons for Variance</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A3075FB"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Planning for Next Year</w:t>
            </w:r>
          </w:p>
        </w:tc>
      </w:tr>
      <w:tr w:rsidR="0013277B" w14:paraId="2710598E" w14:textId="77777777">
        <w:trPr>
          <w:trHeight w:val="3495"/>
        </w:trPr>
        <w:tc>
          <w:tcPr>
            <w:tcW w:w="21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CBBC15E"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1. Implement new English and Maths &amp; Statistics curricula</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9F60B56"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Staff gained significant knowledge despite a highly problematic national rollout. The school’s prior foundation with the iDeaL structured literacy platform provided a vital head start. The internal Literacy and Numeracy team (Kelli, Ravena, and Jan M) provided exceptional leadership by synthesising Ministry materials for the wider staff.</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F1DDA6D"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Internal PLD Records: </w:t>
            </w:r>
          </w:p>
          <w:p w14:paraId="47516EEC"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Training logs for structured literacy and Numicon (Maths). Team Documentation: Curriculum summaries and staff briefing notes prepared by the lead Literacy/Maths team.</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A194015"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External Rollout Challenges: The implementation was hampered by a lack of Ministry resources, shifting requirements, and external PLD "experts" who lacked definitive answers. </w:t>
            </w:r>
          </w:p>
          <w:p w14:paraId="55BC3221"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Success was driven by internal mahi rather than external support.</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FDC0749"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Consolidate Learning: Continue to refine the delivery of the new curricula as staff become more comfortable with the requirements and more resources (hopefully) become available.</w:t>
            </w:r>
          </w:p>
        </w:tc>
      </w:tr>
      <w:tr w:rsidR="0013277B" w14:paraId="6CA457F6" w14:textId="77777777">
        <w:trPr>
          <w:trHeight w:val="2490"/>
        </w:trPr>
        <w:tc>
          <w:tcPr>
            <w:tcW w:w="21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94874DA"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2. Transition from STAR to PAT assessments</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BB7A7FD"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The school made the strategic decision to continue using STAR for reading in 2025 rather than transitioning to PATs as originally planned. This maintained data consistency during a year of high curriculum change.</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FB451C1"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2025 Assessment Data: Continued use of STAR scale scores to track progress across Year levels.</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3B11F7A"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Strategic Delay: </w:t>
            </w:r>
          </w:p>
          <w:p w14:paraId="3D112DF0"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As PATs were not compulsory in 2025, the school prioritised staff cognitive load by sticking with a familiar tool (STAR) while they grappled with the new curriculum rollout.</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571C26E1"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Mandatory Transition: </w:t>
            </w:r>
          </w:p>
          <w:p w14:paraId="6E0C65A5"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Full transition to PAT assessments will occur in 2026 as per Ministry requirements.</w:t>
            </w:r>
          </w:p>
        </w:tc>
      </w:tr>
      <w:tr w:rsidR="0013277B" w14:paraId="685B426E" w14:textId="77777777">
        <w:trPr>
          <w:trHeight w:val="2310"/>
        </w:trPr>
        <w:tc>
          <w:tcPr>
            <w:tcW w:w="214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7CF5D4B"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3. Map NZC to local themes and identity</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93AF9DC"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By using iDeaL and Numicon within our own framework, we ensured that the national curriculum was delivered through a lens that fits our school's specific needs.</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6905141"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Curriculum Planning: Updated schemes of work reflecting the integration of structured literacy and Numicon.</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989E668"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Workload Management: </w:t>
            </w:r>
          </w:p>
          <w:p w14:paraId="7A58FBAB"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The "nightmare" of the national rollout meant that some deeper localised mapping was slowed as the team focused on core curriculum compliance.</w:t>
            </w:r>
          </w:p>
        </w:tc>
        <w:tc>
          <w:tcPr>
            <w:tcW w:w="3495"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2BBD1CC"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Deepen Localisation: </w:t>
            </w:r>
          </w:p>
          <w:p w14:paraId="3A6C508F"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In 2026, once the new curricula are more "business as usual," we will return to mapping these more deeply to our local themes and history.</w:t>
            </w:r>
          </w:p>
        </w:tc>
      </w:tr>
    </w:tbl>
    <w:p w14:paraId="101076EA" w14:textId="77777777" w:rsidR="0013277B" w:rsidRDefault="0013277B">
      <w:pPr>
        <w:rPr>
          <w:rFonts w:ascii="Comfortaa" w:eastAsia="Comfortaa" w:hAnsi="Comfortaa" w:cs="Comfortaa"/>
        </w:rPr>
      </w:pPr>
    </w:p>
    <w:tbl>
      <w:tblPr>
        <w:tblStyle w:val="a4"/>
        <w:tblW w:w="16185" w:type="dxa"/>
        <w:tblInd w:w="-225" w:type="dxa"/>
        <w:tblBorders>
          <w:top w:val="single" w:sz="5" w:space="0" w:color="DDE1EB"/>
          <w:left w:val="single" w:sz="5" w:space="0" w:color="DDE1EB"/>
          <w:bottom w:val="single" w:sz="5" w:space="0" w:color="DDE1EB"/>
          <w:right w:val="single" w:sz="5" w:space="0" w:color="DDE1EB"/>
          <w:insideH w:val="single" w:sz="5" w:space="0" w:color="DDE1EB"/>
          <w:insideV w:val="single" w:sz="5" w:space="0" w:color="DDE1EB"/>
        </w:tblBorders>
        <w:tblLayout w:type="fixed"/>
        <w:tblLook w:val="0600" w:firstRow="0" w:lastRow="0" w:firstColumn="0" w:lastColumn="0" w:noHBand="1" w:noVBand="1"/>
      </w:tblPr>
      <w:tblGrid>
        <w:gridCol w:w="2129"/>
        <w:gridCol w:w="3514"/>
        <w:gridCol w:w="3514"/>
        <w:gridCol w:w="3514"/>
        <w:gridCol w:w="3514"/>
      </w:tblGrid>
      <w:tr w:rsidR="0013277B" w14:paraId="69D816AD" w14:textId="77777777">
        <w:trPr>
          <w:trHeight w:val="900"/>
        </w:trPr>
        <w:tc>
          <w:tcPr>
            <w:tcW w:w="16182" w:type="dxa"/>
            <w:gridSpan w:val="5"/>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2AEB9A2" w14:textId="77777777" w:rsidR="0013277B" w:rsidRDefault="008B6EC8">
            <w:pPr>
              <w:jc w:val="center"/>
              <w:rPr>
                <w:rFonts w:ascii="Comfortaa" w:eastAsia="Comfortaa" w:hAnsi="Comfortaa" w:cs="Comfortaa"/>
                <w:b/>
                <w:bCs/>
                <w:color w:val="303030"/>
                <w:sz w:val="21"/>
                <w:szCs w:val="21"/>
                <w:highlight w:val="white"/>
              </w:rPr>
            </w:pPr>
            <w:r>
              <w:rPr>
                <w:rFonts w:ascii="Comfortaa" w:eastAsia="Comfortaa" w:hAnsi="Comfortaa" w:cs="Comfortaa"/>
                <w:b/>
                <w:bCs/>
                <w:color w:val="303030"/>
                <w:sz w:val="21"/>
                <w:szCs w:val="21"/>
                <w:highlight w:val="white"/>
              </w:rPr>
              <w:lastRenderedPageBreak/>
              <w:t>Strategic Priority 6: Monitor and Review School Structure</w:t>
            </w:r>
          </w:p>
          <w:p w14:paraId="641478C1" w14:textId="77777777" w:rsidR="0013277B" w:rsidRDefault="008B6EC8">
            <w:pPr>
              <w:jc w:val="center"/>
              <w:rPr>
                <w:rFonts w:ascii="Comfortaa" w:eastAsia="Comfortaa" w:hAnsi="Comfortaa" w:cs="Comfortaa"/>
                <w:i/>
                <w:iCs/>
                <w:color w:val="303030"/>
                <w:sz w:val="21"/>
                <w:szCs w:val="21"/>
                <w:highlight w:val="white"/>
              </w:rPr>
            </w:pPr>
            <w:r>
              <w:rPr>
                <w:rFonts w:ascii="Comfortaa" w:eastAsia="Comfortaa" w:hAnsi="Comfortaa" w:cs="Comfortaa"/>
                <w:i/>
                <w:iCs/>
                <w:color w:val="303030"/>
                <w:sz w:val="21"/>
                <w:szCs w:val="21"/>
                <w:highlight w:val="white"/>
              </w:rPr>
              <w:t>Annual Objective: Ensure the school’s structure (leadership, staffing, timetabling, support systems) is optimised for student achievement and wellbeing</w:t>
            </w:r>
          </w:p>
          <w:p w14:paraId="00697C74" w14:textId="77777777" w:rsidR="0013277B" w:rsidRDefault="0013277B">
            <w:pPr>
              <w:jc w:val="center"/>
              <w:rPr>
                <w:rFonts w:ascii="Comfortaa" w:eastAsia="Comfortaa" w:hAnsi="Comfortaa" w:cs="Comfortaa"/>
                <w:color w:val="303030"/>
                <w:sz w:val="21"/>
                <w:szCs w:val="21"/>
              </w:rPr>
            </w:pPr>
          </w:p>
        </w:tc>
      </w:tr>
      <w:tr w:rsidR="0013277B" w14:paraId="432380D8" w14:textId="77777777">
        <w:trPr>
          <w:trHeight w:val="870"/>
        </w:trPr>
        <w:tc>
          <w:tcPr>
            <w:tcW w:w="213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1EACEF5"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Actions (from 2025 Plan)</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8124247"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What did we achieve? (Outcomes)</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F857D40"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Evidence</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F22E9D3"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Reasons for Variance</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39711AF2" w14:textId="77777777" w:rsidR="0013277B" w:rsidRDefault="008B6EC8">
            <w:pPr>
              <w:jc w:val="center"/>
              <w:rPr>
                <w:rFonts w:ascii="Comfortaa" w:eastAsia="Comfortaa" w:hAnsi="Comfortaa" w:cs="Comfortaa"/>
                <w:b/>
                <w:bCs/>
                <w:color w:val="303030"/>
                <w:sz w:val="21"/>
                <w:szCs w:val="21"/>
              </w:rPr>
            </w:pPr>
            <w:r>
              <w:rPr>
                <w:rFonts w:ascii="Comfortaa" w:eastAsia="Comfortaa" w:hAnsi="Comfortaa" w:cs="Comfortaa"/>
                <w:b/>
                <w:bCs/>
                <w:color w:val="303030"/>
                <w:sz w:val="21"/>
                <w:szCs w:val="21"/>
              </w:rPr>
              <w:t>Planning for Next Year</w:t>
            </w:r>
          </w:p>
        </w:tc>
      </w:tr>
      <w:tr w:rsidR="0013277B" w14:paraId="6D3C835B" w14:textId="77777777">
        <w:trPr>
          <w:trHeight w:val="2370"/>
        </w:trPr>
        <w:tc>
          <w:tcPr>
            <w:tcW w:w="213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412AA85"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1. Restructure school into three teams (Whānau)</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B24982B"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The school moved to a whānau-based structure with four classes in each whānau. Pou Arataki works collaboratively to place tamariki in classes, considering their learning, wellbeing, and individual needs. While teams generally reflect junior and senior learning stages, placements remain flexible to ensure the best fit for each child.</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65EE7A04"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Staff &amp; Student Narrative: Feedback confirming increased stability and trust. Strategic Expansion: The success of the model led to the decision to expand to 4 teams for 2026.</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08CBE7D6"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Collaboration Learning Curve: While student outcomes were high, some staff members are still in the process of learning how to work fully collaboratively within the team structure.</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189C44D"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Move to 4 whānau teams: Implement a fourth whānau in 2026 to further optimize student-centred delivery and staff collaboration.</w:t>
            </w:r>
          </w:p>
        </w:tc>
      </w:tr>
      <w:tr w:rsidR="0013277B" w14:paraId="151E4385" w14:textId="77777777">
        <w:trPr>
          <w:trHeight w:val="2715"/>
        </w:trPr>
        <w:tc>
          <w:tcPr>
            <w:tcW w:w="2130"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5881B8A" w14:textId="77777777" w:rsidR="0013277B" w:rsidRDefault="008B6EC8">
            <w:pPr>
              <w:rPr>
                <w:rFonts w:ascii="Comfortaa" w:eastAsia="Comfortaa" w:hAnsi="Comfortaa" w:cs="Comfortaa"/>
                <w:b/>
                <w:bCs/>
                <w:color w:val="303030"/>
                <w:sz w:val="21"/>
                <w:szCs w:val="21"/>
              </w:rPr>
            </w:pPr>
            <w:r>
              <w:rPr>
                <w:rFonts w:ascii="Comfortaa" w:eastAsia="Comfortaa" w:hAnsi="Comfortaa" w:cs="Comfortaa"/>
                <w:b/>
                <w:bCs/>
                <w:color w:val="303030"/>
                <w:sz w:val="21"/>
                <w:szCs w:val="21"/>
              </w:rPr>
              <w:t>2. Conduct ongoing structural review</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1195631D"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We successfully monitored the effectiveness of the whanau grouping model. This review confirmed that the structure supports our vision of </w:t>
            </w:r>
            <w:r>
              <w:rPr>
                <w:rFonts w:ascii="Comfortaa" w:eastAsia="Comfortaa" w:hAnsi="Comfortaa" w:cs="Comfortaa"/>
                <w:i/>
                <w:iCs/>
                <w:color w:val="303030"/>
                <w:sz w:val="21"/>
                <w:szCs w:val="21"/>
              </w:rPr>
              <w:t>"looking after each other"</w:t>
            </w:r>
            <w:r>
              <w:rPr>
                <w:rFonts w:ascii="Comfortaa" w:eastAsia="Comfortaa" w:hAnsi="Comfortaa" w:cs="Comfortaa"/>
                <w:color w:val="303030"/>
                <w:sz w:val="21"/>
                <w:szCs w:val="21"/>
              </w:rPr>
              <w:t xml:space="preserve"> by providing a predictable and safe environment.</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2B080B2E"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 xml:space="preserve">Board Reports: </w:t>
            </w:r>
          </w:p>
          <w:p w14:paraId="6EA1ADAA"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Regular reporting on the effectiveness of the new whānau-based structural delivery.</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4B903750"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Resource Alignment:</w:t>
            </w:r>
          </w:p>
          <w:p w14:paraId="76A6C8E8"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Ensuring that the four-team expansion for 2026 is fully resourced to maintain the momentum of 2025.</w:t>
            </w:r>
          </w:p>
        </w:tc>
        <w:tc>
          <w:tcPr>
            <w:tcW w:w="3513" w:type="dxa"/>
            <w:tcBorders>
              <w:top w:val="single" w:sz="5" w:space="0" w:color="DDE1EB"/>
              <w:left w:val="single" w:sz="5" w:space="0" w:color="DDE1EB"/>
              <w:bottom w:val="single" w:sz="5" w:space="0" w:color="DDE1EB"/>
              <w:right w:val="single" w:sz="5" w:space="0" w:color="DDE1EB"/>
            </w:tcBorders>
            <w:tcMar>
              <w:top w:w="100" w:type="dxa"/>
              <w:left w:w="100" w:type="dxa"/>
              <w:bottom w:w="100" w:type="dxa"/>
              <w:right w:w="100" w:type="dxa"/>
            </w:tcMar>
          </w:tcPr>
          <w:p w14:paraId="77766C1B" w14:textId="77777777" w:rsidR="0013277B" w:rsidRDefault="008B6EC8">
            <w:pPr>
              <w:rPr>
                <w:rFonts w:ascii="Comfortaa" w:eastAsia="Comfortaa" w:hAnsi="Comfortaa" w:cs="Comfortaa"/>
                <w:color w:val="303030"/>
                <w:sz w:val="21"/>
                <w:szCs w:val="21"/>
              </w:rPr>
            </w:pPr>
            <w:r>
              <w:rPr>
                <w:rFonts w:ascii="Comfortaa" w:eastAsia="Comfortaa" w:hAnsi="Comfortaa" w:cs="Comfortaa"/>
                <w:color w:val="303030"/>
                <w:sz w:val="21"/>
                <w:szCs w:val="21"/>
              </w:rPr>
              <w:t>Targeted Collaboration PLD: Provide specific support for staff who are still adjusting to collaborative teaching practices to ensure consistency across all four teams.</w:t>
            </w:r>
          </w:p>
        </w:tc>
      </w:tr>
    </w:tbl>
    <w:p w14:paraId="4510F499" w14:textId="77777777" w:rsidR="0013277B" w:rsidRDefault="0013277B">
      <w:pPr>
        <w:rPr>
          <w:rFonts w:ascii="Comfortaa" w:eastAsia="Comfortaa" w:hAnsi="Comfortaa" w:cs="Comfortaa"/>
        </w:rPr>
      </w:pPr>
    </w:p>
    <w:sectPr w:rsidR="0013277B">
      <w:pgSz w:w="16838" w:h="11906" w:orient="landscape"/>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embedRegular r:id="rId1" w:fontKey="{D808494D-2E08-41A8-9FF8-7DE593486B37}"/>
    <w:embedBold r:id="rId2" w:fontKey="{E70F9F9F-76C5-4061-8BA1-7E6F4CF75ACD}"/>
    <w:embedItalic r:id="rId3" w:fontKey="{34683790-5D26-4B20-B8FA-E510586A7C55}"/>
  </w:font>
  <w:font w:name="Cardo">
    <w:charset w:val="00"/>
    <w:family w:val="auto"/>
    <w:pitch w:val="default"/>
    <w:embedRegular r:id="rId4" w:fontKey="{916E5205-D74D-4B17-9250-EEDE7E92A1E9}"/>
  </w:font>
  <w:font w:name="Calibri">
    <w:panose1 w:val="020F0502020204030204"/>
    <w:charset w:val="00"/>
    <w:family w:val="swiss"/>
    <w:pitch w:val="variable"/>
    <w:sig w:usb0="E4002EFF" w:usb1="C200247B" w:usb2="00000009" w:usb3="00000000" w:csb0="000001FF" w:csb1="00000000"/>
    <w:embedRegular r:id="rId5" w:fontKey="{2072C19D-F590-48EB-936F-11BE49C81D69}"/>
  </w:font>
  <w:font w:name="Cambria">
    <w:panose1 w:val="02040503050406030204"/>
    <w:charset w:val="00"/>
    <w:family w:val="roman"/>
    <w:pitch w:val="variable"/>
    <w:sig w:usb0="E00006FF" w:usb1="420024FF" w:usb2="02000000" w:usb3="00000000" w:csb0="0000019F" w:csb1="00000000"/>
    <w:embedRegular r:id="rId6" w:fontKey="{C1116925-F5E6-4049-A34D-6BCB9B307C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77B"/>
    <w:rsid w:val="0013277B"/>
    <w:rsid w:val="00205F4C"/>
    <w:rsid w:val="00252F25"/>
    <w:rsid w:val="008B6EC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9FCC3"/>
  <w15:docId w15:val="{1799DD08-CB6E-400E-ACFD-1AE5159AA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tcPr>
      <w:shd w:val="clear" w:color="auto" w:fill="FFFFFF"/>
    </w:tcPr>
  </w:style>
  <w:style w:type="table" w:customStyle="1" w:styleId="a2">
    <w:basedOn w:val="TableNormal0"/>
    <w:tblPr>
      <w:tblStyleRowBandSize w:val="1"/>
      <w:tblStyleColBandSize w:val="1"/>
    </w:tblPr>
    <w:tcPr>
      <w:shd w:val="clear" w:color="auto" w:fill="FFFFFF"/>
    </w:tcPr>
  </w:style>
  <w:style w:type="table" w:customStyle="1" w:styleId="a3">
    <w:basedOn w:val="TableNormal0"/>
    <w:tblPr>
      <w:tblStyleRowBandSize w:val="1"/>
      <w:tblStyleColBandSize w:val="1"/>
    </w:tblPr>
    <w:tcPr>
      <w:shd w:val="clear" w:color="auto" w:fill="FFFFFF"/>
    </w:tcPr>
  </w:style>
  <w:style w:type="table" w:customStyle="1" w:styleId="a4">
    <w:basedOn w:val="TableNormal0"/>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2358</Words>
  <Characters>13445</Characters>
  <Application>Microsoft Office Word</Application>
  <DocSecurity>0</DocSecurity>
  <Lines>112</Lines>
  <Paragraphs>31</Paragraphs>
  <ScaleCrop>false</ScaleCrop>
  <Company/>
  <LinksUpToDate>false</LinksUpToDate>
  <CharactersWithSpaces>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Newman</dc:creator>
  <cp:lastModifiedBy>Pat Newman</cp:lastModifiedBy>
  <cp:revision>2</cp:revision>
  <dcterms:created xsi:type="dcterms:W3CDTF">2026-03-28T01:04:00Z</dcterms:created>
  <dcterms:modified xsi:type="dcterms:W3CDTF">2026-03-28T01:04:00Z</dcterms:modified>
</cp:coreProperties>
</file>