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F3A" w14:textId="5915175C" w:rsidR="00A47463" w:rsidRDefault="00A47463" w:rsidP="00A47463">
      <w:pPr>
        <w:rPr>
          <w:b/>
          <w:bCs/>
          <w:sz w:val="36"/>
          <w:szCs w:val="36"/>
        </w:rPr>
      </w:pPr>
      <w:r w:rsidRPr="00DB345C">
        <w:rPr>
          <w:b/>
          <w:bCs/>
          <w:sz w:val="36"/>
          <w:szCs w:val="36"/>
          <w:highlight w:val="yellow"/>
        </w:rPr>
        <w:t>School Wide Priorities</w:t>
      </w:r>
      <w:r w:rsidR="00CB755F" w:rsidRPr="00DB345C">
        <w:rPr>
          <w:b/>
          <w:bCs/>
          <w:sz w:val="36"/>
          <w:szCs w:val="36"/>
          <w:highlight w:val="yellow"/>
        </w:rPr>
        <w:t xml:space="preserve"> 2023</w:t>
      </w:r>
      <w:r w:rsidRPr="00DB345C">
        <w:rPr>
          <w:b/>
          <w:bCs/>
          <w:sz w:val="36"/>
          <w:szCs w:val="36"/>
          <w:highlight w:val="yellow"/>
        </w:rPr>
        <w:t>.</w:t>
      </w:r>
    </w:p>
    <w:p w14:paraId="53AC6FC2" w14:textId="175AB700" w:rsidR="00035ED0" w:rsidRPr="00035ED0" w:rsidRDefault="00035ED0" w:rsidP="00A47463">
      <w:pPr>
        <w:rPr>
          <w:i/>
          <w:iCs/>
        </w:rPr>
      </w:pPr>
      <w:r w:rsidRPr="00035ED0">
        <w:rPr>
          <w:i/>
          <w:iCs/>
        </w:rPr>
        <w:t xml:space="preserve">Due to required changes </w:t>
      </w:r>
      <w:proofErr w:type="gramStart"/>
      <w:r w:rsidRPr="00035ED0">
        <w:rPr>
          <w:i/>
          <w:iCs/>
        </w:rPr>
        <w:t>later  this</w:t>
      </w:r>
      <w:proofErr w:type="gramEnd"/>
      <w:r w:rsidRPr="00035ED0">
        <w:rPr>
          <w:i/>
          <w:iCs/>
        </w:rPr>
        <w:t xml:space="preserve"> year to Planning and Reporting</w:t>
      </w:r>
      <w:r>
        <w:rPr>
          <w:i/>
          <w:iCs/>
        </w:rPr>
        <w:t xml:space="preserve"> the decision </w:t>
      </w:r>
      <w:proofErr w:type="spellStart"/>
      <w:r>
        <w:rPr>
          <w:i/>
          <w:iCs/>
        </w:rPr>
        <w:t>ha</w:t>
      </w:r>
      <w:proofErr w:type="spellEnd"/>
      <w:r>
        <w:rPr>
          <w:i/>
          <w:iCs/>
        </w:rPr>
        <w:t xml:space="preserve"> been made </w:t>
      </w:r>
      <w:r w:rsidRPr="00035ED0">
        <w:rPr>
          <w:i/>
          <w:iCs/>
        </w:rPr>
        <w:t xml:space="preserve">to </w:t>
      </w:r>
      <w:r>
        <w:rPr>
          <w:i/>
          <w:iCs/>
        </w:rPr>
        <w:t xml:space="preserve">develop and </w:t>
      </w:r>
      <w:r w:rsidRPr="00035ED0">
        <w:rPr>
          <w:i/>
          <w:iCs/>
        </w:rPr>
        <w:t>work</w:t>
      </w:r>
      <w:r>
        <w:rPr>
          <w:i/>
          <w:iCs/>
        </w:rPr>
        <w:t xml:space="preserve"> from this</w:t>
      </w:r>
      <w:r w:rsidRPr="00035ED0">
        <w:rPr>
          <w:i/>
          <w:iCs/>
        </w:rPr>
        <w:t xml:space="preserve"> interim Annual Plan that can be developed, subject to consultation, at a </w:t>
      </w:r>
      <w:proofErr w:type="spellStart"/>
      <w:r w:rsidRPr="00035ED0">
        <w:rPr>
          <w:i/>
          <w:iCs/>
        </w:rPr>
        <w:t>latter</w:t>
      </w:r>
      <w:proofErr w:type="spellEnd"/>
      <w:r w:rsidRPr="00035ED0">
        <w:rPr>
          <w:i/>
          <w:iCs/>
        </w:rPr>
        <w:t xml:space="preserve"> date into our 3 year plan.</w:t>
      </w:r>
    </w:p>
    <w:p w14:paraId="129095D9" w14:textId="77777777" w:rsidR="00A47463" w:rsidRPr="00CB755F" w:rsidRDefault="00A47463" w:rsidP="00A47463"/>
    <w:p w14:paraId="4FD17063" w14:textId="77777777" w:rsidR="00A47463" w:rsidRPr="008A0704" w:rsidRDefault="00A47463" w:rsidP="00A474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</w:rPr>
      </w:pPr>
      <w:r w:rsidRPr="008A0704">
        <w:rPr>
          <w:rFonts w:ascii="Calibri" w:hAnsi="Calibri" w:cs="Calibri"/>
          <w:b/>
          <w:bCs/>
        </w:rPr>
        <w:t xml:space="preserve">To continue to develop and incorporate the emphasis on teaching from children’s strengths. </w:t>
      </w:r>
    </w:p>
    <w:p w14:paraId="7165EEF3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7A33704F" w14:textId="5BA20350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1a. Staff will have identified the strengths of children in their care, and ensure that they use these strengths as the springboard for all </w:t>
      </w:r>
      <w:proofErr w:type="gramStart"/>
      <w:r>
        <w:rPr>
          <w:rFonts w:ascii="Calibri" w:hAnsi="Calibri" w:cs="Calibri"/>
        </w:rPr>
        <w:t>learning</w:t>
      </w:r>
      <w:proofErr w:type="gramEnd"/>
    </w:p>
    <w:p w14:paraId="16F2C5D2" w14:textId="77777777" w:rsidR="00CB755F" w:rsidRPr="008A0704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29B2ACB7" w14:textId="77777777" w:rsidR="00035ED0" w:rsidRDefault="00035ED0" w:rsidP="00035E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30D1558A" w14:textId="6E8CC6C7" w:rsidR="00A47463" w:rsidRPr="008A0704" w:rsidRDefault="00A47463" w:rsidP="00A474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</w:rPr>
      </w:pPr>
      <w:r w:rsidRPr="008A0704">
        <w:rPr>
          <w:rFonts w:ascii="Calibri" w:hAnsi="Calibri" w:cs="Calibri"/>
          <w:b/>
          <w:bCs/>
        </w:rPr>
        <w:t>To explore the history of Aotearoa / New Zealand with our students, with an emphasis on local events (</w:t>
      </w:r>
      <w:proofErr w:type="gramStart"/>
      <w:r w:rsidRPr="008A0704">
        <w:rPr>
          <w:rFonts w:ascii="Calibri" w:hAnsi="Calibri" w:cs="Calibri"/>
          <w:b/>
          <w:bCs/>
        </w:rPr>
        <w:t>e.g.</w:t>
      </w:r>
      <w:proofErr w:type="gramEnd"/>
      <w:r w:rsidRPr="008A0704">
        <w:rPr>
          <w:rFonts w:ascii="Calibri" w:hAnsi="Calibri" w:cs="Calibri"/>
          <w:b/>
          <w:bCs/>
        </w:rPr>
        <w:t xml:space="preserve"> Northland, Whangārei)</w:t>
      </w:r>
    </w:p>
    <w:p w14:paraId="6C722052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01B7A72A" w14:textId="4698BC07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2a. We work with local Iwi and kaumatua to further develop our knowledge of localised history pertinent to Hora </w:t>
      </w:r>
      <w:proofErr w:type="spellStart"/>
      <w:r w:rsidR="008A0704">
        <w:rPr>
          <w:rFonts w:ascii="Calibri" w:hAnsi="Calibri" w:cs="Calibri"/>
        </w:rPr>
        <w:t>H</w:t>
      </w:r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School and community.</w:t>
      </w:r>
    </w:p>
    <w:p w14:paraId="3BFE56DC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4F86C72" w14:textId="1DA6A679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2b. We continue developing this knowledge with a Tatou Tatou Approach as part of PD.</w:t>
      </w:r>
    </w:p>
    <w:p w14:paraId="4F60FBE7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526D60C" w14:textId="2756FE28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2c. Expectation is that all staff will be fully involved in this.</w:t>
      </w:r>
    </w:p>
    <w:p w14:paraId="07053EFE" w14:textId="77777777" w:rsidR="00CB755F" w:rsidRDefault="00CB755F" w:rsidP="00CB755F">
      <w:pPr>
        <w:pStyle w:val="ListParagraph"/>
        <w:rPr>
          <w:rFonts w:ascii="Calibri" w:hAnsi="Calibri" w:cs="Calibri"/>
        </w:rPr>
      </w:pPr>
    </w:p>
    <w:p w14:paraId="46ECD71D" w14:textId="77777777" w:rsidR="00CB755F" w:rsidRP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9CB6539" w14:textId="77777777" w:rsidR="00A47463" w:rsidRPr="008A0704" w:rsidRDefault="00A47463" w:rsidP="00A474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</w:rPr>
      </w:pPr>
      <w:r w:rsidRPr="008A0704">
        <w:rPr>
          <w:rFonts w:ascii="Calibri" w:hAnsi="Calibri" w:cs="Calibri"/>
          <w:b/>
          <w:bCs/>
        </w:rPr>
        <w:t>To continue to develop trauma informed practice throughout the school.</w:t>
      </w:r>
    </w:p>
    <w:p w14:paraId="7B84C63E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26118BFA" w14:textId="714EEA70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3a. To give staff especially teachers opportunities to increase knowledge and skills with regards trauma informed practices</w:t>
      </w:r>
    </w:p>
    <w:p w14:paraId="39DC42C2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234B98C" w14:textId="56ACAFAC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3b. To </w:t>
      </w:r>
      <w:r w:rsidR="008A0704">
        <w:rPr>
          <w:rFonts w:ascii="Calibri" w:hAnsi="Calibri" w:cs="Calibri"/>
        </w:rPr>
        <w:t>continue</w:t>
      </w:r>
      <w:r>
        <w:rPr>
          <w:rFonts w:ascii="Calibri" w:hAnsi="Calibri" w:cs="Calibri"/>
        </w:rPr>
        <w:t xml:space="preserve"> with the Hauora Programme involving approximately </w:t>
      </w:r>
      <w:proofErr w:type="gramStart"/>
      <w:r>
        <w:rPr>
          <w:rFonts w:ascii="Calibri" w:hAnsi="Calibri" w:cs="Calibri"/>
        </w:rPr>
        <w:t>100</w:t>
      </w:r>
      <w:proofErr w:type="gramEnd"/>
      <w:r>
        <w:rPr>
          <w:rFonts w:ascii="Calibri" w:hAnsi="Calibri" w:cs="Calibri"/>
        </w:rPr>
        <w:t xml:space="preserve"> akonga each day.</w:t>
      </w:r>
    </w:p>
    <w:p w14:paraId="7C335584" w14:textId="77777777" w:rsidR="00035ED0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28EEC23E" w14:textId="51F9EE2F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3c. To </w:t>
      </w:r>
      <w:r w:rsidR="008A0704">
        <w:rPr>
          <w:rFonts w:ascii="Calibri" w:hAnsi="Calibri" w:cs="Calibri"/>
        </w:rPr>
        <w:t>utilise</w:t>
      </w:r>
      <w:r>
        <w:rPr>
          <w:rFonts w:ascii="Calibri" w:hAnsi="Calibri" w:cs="Calibri"/>
        </w:rPr>
        <w:t xml:space="preserve"> services of school Councillor and Social Worker with regards this.</w:t>
      </w:r>
    </w:p>
    <w:p w14:paraId="4E03D048" w14:textId="77777777" w:rsid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79F3689C" w14:textId="77777777" w:rsidR="00035ED0" w:rsidRPr="00CB755F" w:rsidRDefault="00035ED0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AF73099" w14:textId="77777777" w:rsidR="00A47463" w:rsidRDefault="00A47463" w:rsidP="00A474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8A0704">
        <w:rPr>
          <w:rFonts w:ascii="Calibri" w:hAnsi="Calibri" w:cs="Calibri"/>
          <w:b/>
          <w:bCs/>
        </w:rPr>
        <w:t>To use the Y6 GP / Pou to drive our curricula</w:t>
      </w:r>
      <w:r w:rsidRPr="00CB755F">
        <w:rPr>
          <w:rFonts w:ascii="Calibri" w:hAnsi="Calibri" w:cs="Calibri"/>
        </w:rPr>
        <w:t>.</w:t>
      </w:r>
    </w:p>
    <w:p w14:paraId="6A7E400D" w14:textId="77777777" w:rsidR="00035ED0" w:rsidRDefault="00035ED0" w:rsidP="00CB755F">
      <w:pPr>
        <w:pStyle w:val="ListParagraph"/>
        <w:rPr>
          <w:rFonts w:ascii="Calibri" w:hAnsi="Calibri" w:cs="Calibri"/>
        </w:rPr>
      </w:pPr>
    </w:p>
    <w:p w14:paraId="5AEB52BB" w14:textId="0A012F3F" w:rsidR="00CB755F" w:rsidRDefault="00035ED0" w:rsidP="00CB755F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4a. To ensure all staff are familiar with the Y6 Graduate Profile /Pou, and are using them within programmes at an appropriate level, </w:t>
      </w: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enables all children to achieve these by the end of their Year 6,</w:t>
      </w:r>
    </w:p>
    <w:p w14:paraId="270DE8A0" w14:textId="77777777" w:rsidR="00035ED0" w:rsidRDefault="00035ED0" w:rsidP="00CB755F">
      <w:pPr>
        <w:pStyle w:val="ListParagraph"/>
        <w:rPr>
          <w:rFonts w:ascii="Calibri" w:hAnsi="Calibri" w:cs="Calibri"/>
        </w:rPr>
      </w:pPr>
    </w:p>
    <w:p w14:paraId="3E2E1622" w14:textId="58649DFD" w:rsidR="00035ED0" w:rsidRDefault="00035ED0" w:rsidP="00CB755F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4b. That teams involve these as a regular part of their professional discussion, with </w:t>
      </w:r>
      <w:proofErr w:type="spellStart"/>
      <w:r>
        <w:rPr>
          <w:rFonts w:ascii="Calibri" w:hAnsi="Calibri" w:cs="Calibri"/>
        </w:rPr>
        <w:t>anemphasison</w:t>
      </w:r>
      <w:proofErr w:type="spellEnd"/>
      <w:r>
        <w:rPr>
          <w:rFonts w:ascii="Calibri" w:hAnsi="Calibri" w:cs="Calibri"/>
        </w:rPr>
        <w:t xml:space="preserve"> how in practicality, the team is </w:t>
      </w:r>
      <w:proofErr w:type="gramStart"/>
      <w:r>
        <w:rPr>
          <w:rFonts w:ascii="Calibri" w:hAnsi="Calibri" w:cs="Calibri"/>
        </w:rPr>
        <w:t>carrying out</w:t>
      </w:r>
      <w:proofErr w:type="gramEnd"/>
      <w:r>
        <w:rPr>
          <w:rFonts w:ascii="Calibri" w:hAnsi="Calibri" w:cs="Calibri"/>
        </w:rPr>
        <w:t xml:space="preserve"> 4a.</w:t>
      </w:r>
    </w:p>
    <w:p w14:paraId="612B7318" w14:textId="77777777" w:rsidR="00CB755F" w:rsidRP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AE7682B" w14:textId="77777777" w:rsidR="00035ED0" w:rsidRPr="00035ED0" w:rsidRDefault="00A47463" w:rsidP="003D3A80">
      <w:pPr>
        <w:pStyle w:val="NormalWeb"/>
        <w:numPr>
          <w:ilvl w:val="0"/>
          <w:numId w:val="1"/>
        </w:numPr>
        <w:ind w:right="1960"/>
        <w:rPr>
          <w:rFonts w:ascii="Cambria" w:hAnsi="Cambria" w:cs="Segoe UI"/>
          <w:color w:val="666666"/>
          <w:spacing w:val="-12"/>
        </w:rPr>
      </w:pPr>
      <w:r w:rsidRPr="00035ED0">
        <w:rPr>
          <w:rFonts w:ascii="Calibri" w:hAnsi="Calibri" w:cs="Calibri"/>
          <w:b/>
          <w:bCs/>
        </w:rPr>
        <w:lastRenderedPageBreak/>
        <w:t>To increase the use of Te Reo / Tikanga throughout the school</w:t>
      </w:r>
      <w:r w:rsidRPr="00035ED0">
        <w:rPr>
          <w:rFonts w:ascii="Calibri" w:hAnsi="Calibri" w:cs="Calibri"/>
        </w:rPr>
        <w:t>.</w:t>
      </w:r>
    </w:p>
    <w:p w14:paraId="7546A239" w14:textId="77777777" w:rsidR="00035ED0" w:rsidRDefault="00035ED0" w:rsidP="00035ED0">
      <w:pPr>
        <w:pStyle w:val="NormalWeb"/>
        <w:ind w:left="720" w:right="1960"/>
        <w:rPr>
          <w:rFonts w:ascii="Cambria" w:hAnsi="Cambria" w:cs="Segoe UI"/>
          <w:color w:val="666666"/>
          <w:spacing w:val="-12"/>
        </w:rPr>
      </w:pPr>
      <w:r w:rsidRPr="00035ED0">
        <w:rPr>
          <w:rFonts w:ascii="Cambria" w:hAnsi="Cambria" w:cs="Segoe UI"/>
          <w:color w:val="666666"/>
          <w:spacing w:val="-12"/>
        </w:rPr>
        <w:t>5</w:t>
      </w:r>
      <w:proofErr w:type="gramStart"/>
      <w:r w:rsidRPr="00035ED0">
        <w:rPr>
          <w:rFonts w:ascii="Cambria" w:hAnsi="Cambria" w:cs="Segoe UI"/>
          <w:color w:val="666666"/>
          <w:spacing w:val="-12"/>
        </w:rPr>
        <w:t xml:space="preserve">a. </w:t>
      </w:r>
      <w:r w:rsidRPr="00035ED0">
        <w:rPr>
          <w:rFonts w:ascii="Cambria" w:hAnsi="Cambria" w:cs="Segoe UI"/>
          <w:color w:val="666666"/>
          <w:spacing w:val="-12"/>
        </w:rPr>
        <w:t xml:space="preserve"> </w:t>
      </w:r>
      <w:proofErr w:type="gramEnd"/>
      <w:r w:rsidRPr="00035ED0">
        <w:rPr>
          <w:rFonts w:ascii="Cambria" w:hAnsi="Cambria" w:cs="Segoe UI"/>
          <w:color w:val="666666"/>
          <w:spacing w:val="-12"/>
        </w:rPr>
        <w:t>We work towards increasing the minimum level of te reo in mainstream, through professional development as a school and within teams being the vehicle to carry this out.</w:t>
      </w:r>
    </w:p>
    <w:p w14:paraId="1A10B327" w14:textId="0DF7C4D4" w:rsidR="00035ED0" w:rsidRPr="00035ED0" w:rsidRDefault="00035ED0" w:rsidP="00035ED0">
      <w:pPr>
        <w:pStyle w:val="NormalWeb"/>
        <w:ind w:left="720" w:right="1960"/>
        <w:rPr>
          <w:rFonts w:ascii="Cambria" w:hAnsi="Cambria" w:cs="Segoe UI"/>
          <w:color w:val="666666"/>
          <w:spacing w:val="-12"/>
        </w:rPr>
      </w:pPr>
      <w:r w:rsidRPr="00035ED0">
        <w:rPr>
          <w:rFonts w:ascii="Cambria" w:hAnsi="Cambria" w:cs="Segoe UI"/>
          <w:color w:val="666666"/>
          <w:spacing w:val="-12"/>
        </w:rPr>
        <w:t xml:space="preserve">5b. We continue to fund to a high </w:t>
      </w:r>
      <w:proofErr w:type="gramStart"/>
      <w:r w:rsidRPr="00035ED0">
        <w:rPr>
          <w:rFonts w:ascii="Cambria" w:hAnsi="Cambria" w:cs="Segoe UI"/>
          <w:color w:val="666666"/>
          <w:spacing w:val="-12"/>
        </w:rPr>
        <w:t>level  para</w:t>
      </w:r>
      <w:proofErr w:type="gramEnd"/>
      <w:r w:rsidRPr="00035ED0">
        <w:rPr>
          <w:rFonts w:ascii="Cambria" w:hAnsi="Cambria" w:cs="Segoe UI"/>
          <w:color w:val="666666"/>
          <w:spacing w:val="-12"/>
        </w:rPr>
        <w:t xml:space="preserve"> professional support/</w:t>
      </w:r>
    </w:p>
    <w:p w14:paraId="0DB59A11" w14:textId="77777777" w:rsidR="00035ED0" w:rsidRPr="00035ED0" w:rsidRDefault="00035ED0" w:rsidP="00035ED0">
      <w:pPr>
        <w:pStyle w:val="ListParagraph"/>
        <w:spacing w:before="100" w:beforeAutospacing="1" w:after="100" w:afterAutospacing="1"/>
        <w:ind w:right="1960"/>
        <w:rPr>
          <w:rFonts w:ascii="Cambria" w:hAnsi="Cambria" w:cs="Segoe UI"/>
          <w:color w:val="666666"/>
          <w:spacing w:val="-12"/>
        </w:rPr>
      </w:pPr>
      <w:r w:rsidRPr="00035ED0">
        <w:rPr>
          <w:rFonts w:ascii="Cambria" w:hAnsi="Cambria" w:cs="Segoe UI"/>
          <w:color w:val="666666"/>
          <w:spacing w:val="-12"/>
        </w:rPr>
        <w:t xml:space="preserve">5c. We incorporate the knowledge and skills already on staff, to help with this on a Tatou </w:t>
      </w:r>
      <w:proofErr w:type="spellStart"/>
      <w:r w:rsidRPr="00035ED0">
        <w:rPr>
          <w:rFonts w:ascii="Cambria" w:hAnsi="Cambria" w:cs="Segoe UI"/>
          <w:color w:val="666666"/>
          <w:spacing w:val="-12"/>
        </w:rPr>
        <w:t>Tatou</w:t>
      </w:r>
      <w:proofErr w:type="spellEnd"/>
      <w:r w:rsidRPr="00035ED0">
        <w:rPr>
          <w:rFonts w:ascii="Cambria" w:hAnsi="Cambria" w:cs="Segoe UI"/>
          <w:color w:val="666666"/>
          <w:spacing w:val="-12"/>
        </w:rPr>
        <w:t xml:space="preserve"> Approach.</w:t>
      </w:r>
    </w:p>
    <w:p w14:paraId="3398FA66" w14:textId="77777777" w:rsidR="00035ED0" w:rsidRDefault="00035ED0" w:rsidP="00035ED0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B1F4C6A" w14:textId="77777777" w:rsidR="00CB755F" w:rsidRPr="00CB755F" w:rsidRDefault="00CB755F" w:rsidP="00CB755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7ED72088" w14:textId="5E0BABE1" w:rsidR="00A47463" w:rsidRPr="006943D9" w:rsidRDefault="00A47463" w:rsidP="00414E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A0704">
        <w:rPr>
          <w:rFonts w:ascii="Calibri" w:hAnsi="Calibri" w:cs="Calibri"/>
          <w:b/>
          <w:bCs/>
        </w:rPr>
        <w:t xml:space="preserve">To ensure the concepts found in the </w:t>
      </w:r>
      <w:proofErr w:type="gramStart"/>
      <w:r w:rsidRPr="008A0704">
        <w:rPr>
          <w:rFonts w:ascii="Calibri" w:hAnsi="Calibri" w:cs="Calibri"/>
          <w:b/>
          <w:bCs/>
        </w:rPr>
        <w:t>NELPs</w:t>
      </w:r>
      <w:r w:rsidR="00CB755F" w:rsidRPr="008A0704">
        <w:rPr>
          <w:rFonts w:ascii="Calibri" w:hAnsi="Calibri" w:cs="Calibri"/>
          <w:b/>
          <w:bCs/>
        </w:rPr>
        <w:t>(</w:t>
      </w:r>
      <w:proofErr w:type="gramEnd"/>
      <w:r w:rsidR="00CB755F" w:rsidRPr="008A0704">
        <w:rPr>
          <w:rFonts w:ascii="Calibri" w:hAnsi="Calibri" w:cs="Calibri"/>
          <w:b/>
          <w:bCs/>
        </w:rPr>
        <w:t xml:space="preserve">Below) </w:t>
      </w:r>
      <w:r w:rsidRPr="008A0704">
        <w:rPr>
          <w:rFonts w:ascii="Calibri" w:hAnsi="Calibri" w:cs="Calibri"/>
          <w:b/>
          <w:bCs/>
        </w:rPr>
        <w:t xml:space="preserve"> relevant to us are implemented. </w:t>
      </w:r>
    </w:p>
    <w:p w14:paraId="129FE2AC" w14:textId="77777777" w:rsidR="006943D9" w:rsidRPr="00035ED0" w:rsidRDefault="006943D9" w:rsidP="00414E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113FF63F" w14:textId="77777777" w:rsidR="00035ED0" w:rsidRDefault="00035ED0" w:rsidP="00035ED0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2A802609" w14:textId="77777777" w:rsidR="00035ED0" w:rsidRPr="008A0704" w:rsidRDefault="00035ED0" w:rsidP="00035E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6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4544"/>
      </w:tblGrid>
      <w:tr w:rsidR="00A47463" w:rsidRPr="00A47463" w14:paraId="0428F6E8" w14:textId="77777777" w:rsidTr="00A47463">
        <w:trPr>
          <w:tblCellSpacing w:w="0" w:type="dxa"/>
        </w:trPr>
        <w:tc>
          <w:tcPr>
            <w:tcW w:w="9495" w:type="dxa"/>
            <w:gridSpan w:val="2"/>
            <w:tcBorders>
              <w:top w:val="single" w:sz="6" w:space="0" w:color="CCCCCC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03E9B0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b/>
                <w:bCs/>
                <w:color w:val="666666"/>
                <w:spacing w:val="-12"/>
                <w:highlight w:val="yellow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highlight w:val="yellow"/>
              </w:rPr>
              <w:t>OBJECTIVE 1: LEARNERS AT THE CENTRE</w:t>
            </w:r>
          </w:p>
        </w:tc>
      </w:tr>
      <w:tr w:rsidR="00A47463" w:rsidRPr="00A47463" w14:paraId="5F4D58AB" w14:textId="77777777" w:rsidTr="00A47463">
        <w:trPr>
          <w:tblCellSpacing w:w="0" w:type="dxa"/>
        </w:trPr>
        <w:tc>
          <w:tcPr>
            <w:tcW w:w="127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94E066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</w:rPr>
            </w:pPr>
            <w:r w:rsidRPr="00A47463">
              <w:rPr>
                <w:rFonts w:ascii="Cambria" w:hAnsi="Cambria" w:cs="Segoe UI"/>
                <w:color w:val="666666"/>
                <w:spacing w:val="-12"/>
              </w:rPr>
              <w:t>Priority 1:</w:t>
            </w:r>
          </w:p>
        </w:tc>
        <w:tc>
          <w:tcPr>
            <w:tcW w:w="8220" w:type="dxa"/>
            <w:tcBorders>
              <w:top w:val="single" w:sz="6" w:space="0" w:color="EEEEEE"/>
              <w:left w:val="single" w:sz="6" w:space="0" w:color="CCCCCC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C9C5BF" w14:textId="77777777" w:rsidR="00A47463" w:rsidRPr="006943D9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 xml:space="preserve">Ensure places of learning are safe, inclusive and free from racism, discrimination and </w:t>
            </w:r>
            <w:proofErr w:type="gramStart"/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>bullying</w:t>
            </w:r>
            <w:proofErr w:type="gramEnd"/>
          </w:p>
          <w:p w14:paraId="3FC853F8" w14:textId="655FFF94" w:rsidR="00A47463" w:rsidRPr="006943D9" w:rsidRDefault="008A0704" w:rsidP="00A47463">
            <w:pPr>
              <w:spacing w:before="100" w:beforeAutospacing="1" w:after="100" w:afterAutospacing="1"/>
              <w:ind w:right="1535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1</w:t>
            </w:r>
            <w:proofErr w:type="gramStart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a.</w:t>
            </w:r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We</w:t>
            </w:r>
            <w:proofErr w:type="gramEnd"/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look after each other. Actions. Repeated discussion, play acting situations etc around what does Looking after each other in different scenarios </w:t>
            </w:r>
            <w:proofErr w:type="gramStart"/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actually mean</w:t>
            </w:r>
            <w:proofErr w:type="gramEnd"/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. We look after each other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in</w:t>
            </w:r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class, in playground, at home, we people say/do nasty </w:t>
            </w:r>
            <w:proofErr w:type="gramStart"/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things</w:t>
            </w:r>
            <w:proofErr w:type="gramEnd"/>
          </w:p>
          <w:p w14:paraId="669D3F08" w14:textId="36F11973" w:rsidR="008A0704" w:rsidRPr="006943D9" w:rsidRDefault="008A0704" w:rsidP="00A47463">
            <w:pPr>
              <w:spacing w:before="100" w:beforeAutospacing="1" w:after="100" w:afterAutospacing="1"/>
              <w:ind w:right="1535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1b.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continue to fund to a high </w:t>
            </w:r>
            <w:proofErr w:type="gramStart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level  para</w:t>
            </w:r>
            <w:proofErr w:type="gramEnd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professional support/</w:t>
            </w:r>
          </w:p>
          <w:p w14:paraId="147172CA" w14:textId="0F5522B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</w:p>
        </w:tc>
      </w:tr>
      <w:tr w:rsidR="00A47463" w:rsidRPr="00A47463" w14:paraId="32B56E52" w14:textId="77777777" w:rsidTr="00A47463">
        <w:trPr>
          <w:tblCellSpacing w:w="0" w:type="dxa"/>
        </w:trPr>
        <w:tc>
          <w:tcPr>
            <w:tcW w:w="127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4F752F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</w:rPr>
            </w:pPr>
            <w:r w:rsidRPr="00A47463">
              <w:rPr>
                <w:rFonts w:ascii="Cambria" w:hAnsi="Cambria" w:cs="Segoe UI"/>
                <w:color w:val="666666"/>
                <w:spacing w:val="-12"/>
              </w:rPr>
              <w:t>Priority 2:</w:t>
            </w:r>
          </w:p>
        </w:tc>
        <w:tc>
          <w:tcPr>
            <w:tcW w:w="8220" w:type="dxa"/>
            <w:tcBorders>
              <w:top w:val="single" w:sz="6" w:space="0" w:color="EEEEEE"/>
              <w:left w:val="single" w:sz="6" w:space="0" w:color="CCCCCC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F45DBF" w14:textId="77777777" w:rsidR="00A47463" w:rsidRPr="006943D9" w:rsidRDefault="00A47463" w:rsidP="00A47463">
            <w:pPr>
              <w:spacing w:before="100" w:beforeAutospacing="1" w:after="100" w:afterAutospacing="1"/>
              <w:ind w:right="1819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 xml:space="preserve">Have high aspirations for every learner/ākonga, and support these by partnering with their whānau and communities to design and deliver education that responds to their needs, and sustains their identities, languages and </w:t>
            </w:r>
            <w:proofErr w:type="gramStart"/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>cultures</w:t>
            </w:r>
            <w:proofErr w:type="gramEnd"/>
          </w:p>
          <w:p w14:paraId="000C60AA" w14:textId="64C4049C" w:rsidR="00A47463" w:rsidRPr="006943D9" w:rsidRDefault="008A0704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2a </w:t>
            </w:r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identify individual needs/strengths of all our akonga, across curriculum, cultural, tikanga, sport etc. and as far as possible cater for </w:t>
            </w:r>
            <w:proofErr w:type="gramStart"/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them</w:t>
            </w:r>
            <w:proofErr w:type="gramEnd"/>
            <w:r w:rsidR="00A47463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 </w:t>
            </w:r>
          </w:p>
          <w:p w14:paraId="31002AE5" w14:textId="77777777" w:rsidR="00CB755F" w:rsidRPr="006943D9" w:rsidRDefault="008A0704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2b </w:t>
            </w:r>
            <w:r w:rsidR="00CB755F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continue to fund to a high </w:t>
            </w:r>
            <w:proofErr w:type="gramStart"/>
            <w:r w:rsidR="00CB755F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level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para</w:t>
            </w:r>
            <w:proofErr w:type="gramEnd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professional support/</w:t>
            </w:r>
          </w:p>
          <w:p w14:paraId="444F567A" w14:textId="5210FFDF" w:rsidR="006943D9" w:rsidRPr="00A47463" w:rsidRDefault="006943D9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</w:p>
        </w:tc>
      </w:tr>
      <w:tr w:rsidR="00A47463" w:rsidRPr="00A47463" w14:paraId="03CE7F68" w14:textId="77777777" w:rsidTr="00A47463">
        <w:trPr>
          <w:tblCellSpacing w:w="0" w:type="dxa"/>
        </w:trPr>
        <w:tc>
          <w:tcPr>
            <w:tcW w:w="9495" w:type="dxa"/>
            <w:gridSpan w:val="2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561E1F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8"/>
                <w:szCs w:val="28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highlight w:val="yellow"/>
              </w:rPr>
              <w:t>OBJECTIVE 2: BARRIER-FREE ACCESS</w:t>
            </w:r>
          </w:p>
        </w:tc>
      </w:tr>
      <w:tr w:rsidR="00A47463" w:rsidRPr="00A47463" w14:paraId="16CE5010" w14:textId="77777777" w:rsidTr="008A0704">
        <w:trPr>
          <w:trHeight w:val="3014"/>
          <w:tblCellSpacing w:w="0" w:type="dxa"/>
        </w:trPr>
        <w:tc>
          <w:tcPr>
            <w:tcW w:w="127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FA5AE0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lastRenderedPageBreak/>
              <w:t>Priority 3:</w:t>
            </w:r>
          </w:p>
        </w:tc>
        <w:tc>
          <w:tcPr>
            <w:tcW w:w="8220" w:type="dxa"/>
            <w:tcBorders>
              <w:top w:val="single" w:sz="6" w:space="0" w:color="EEEEEE"/>
              <w:left w:val="single" w:sz="6" w:space="0" w:color="CCCCCC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4E7235" w14:textId="77777777" w:rsidR="00A47463" w:rsidRPr="006943D9" w:rsidRDefault="00A47463" w:rsidP="00A47463">
            <w:pPr>
              <w:spacing w:before="100" w:beforeAutospacing="1" w:after="100" w:afterAutospacing="1"/>
              <w:ind w:right="1819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 xml:space="preserve">Reduce barriers to education for all, including for Māori and Pacific learners/ākonga, disabled learners/ākonga and those with learning support </w:t>
            </w:r>
            <w:proofErr w:type="gramStart"/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>needs</w:t>
            </w:r>
            <w:proofErr w:type="gramEnd"/>
          </w:p>
          <w:p w14:paraId="19B863D9" w14:textId="5373B9E5" w:rsidR="000D0AFD" w:rsidRPr="006943D9" w:rsidRDefault="008A0704" w:rsidP="00A47463">
            <w:pPr>
              <w:spacing w:before="100" w:beforeAutospacing="1" w:after="100" w:afterAutospacing="1"/>
              <w:ind w:right="1819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3</w:t>
            </w:r>
            <w:proofErr w:type="gramStart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a.</w:t>
            </w:r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We</w:t>
            </w:r>
            <w:proofErr w:type="gramEnd"/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will identify barriers for learning, be they physical, emotional, educational and put in place actions/programmes to reduce/nullify these.</w:t>
            </w:r>
          </w:p>
          <w:p w14:paraId="2972E13F" w14:textId="4DAEEA6E" w:rsidR="00CB755F" w:rsidRPr="006943D9" w:rsidRDefault="008A0704" w:rsidP="00A47463">
            <w:pPr>
              <w:spacing w:before="100" w:beforeAutospacing="1" w:after="100" w:afterAutospacing="1"/>
              <w:ind w:right="1819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3.b </w:t>
            </w:r>
            <w:r w:rsidR="00CB755F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will workshop with Dr Melanie Riwai – Couch author of Neho Taniwha and as well make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this book</w:t>
            </w:r>
            <w:r w:rsidR="00CB755F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the resource for all </w:t>
            </w:r>
            <w:proofErr w:type="gramStart"/>
            <w:r w:rsidR="00CB755F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teams</w:t>
            </w:r>
            <w:proofErr w:type="gramEnd"/>
            <w:r w:rsidR="00CB755F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professional discussion.</w:t>
            </w:r>
          </w:p>
          <w:p w14:paraId="567D0FA7" w14:textId="05D678EC" w:rsidR="008A0704" w:rsidRPr="00A47463" w:rsidRDefault="008A0704" w:rsidP="00A47463">
            <w:pPr>
              <w:spacing w:before="100" w:beforeAutospacing="1" w:after="100" w:afterAutospacing="1"/>
              <w:ind w:right="1819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3.c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continue to fund to a high </w:t>
            </w:r>
            <w:proofErr w:type="gramStart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level  para</w:t>
            </w:r>
            <w:proofErr w:type="gramEnd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professional support</w:t>
            </w:r>
          </w:p>
        </w:tc>
      </w:tr>
      <w:tr w:rsidR="00A47463" w:rsidRPr="00A47463" w14:paraId="4DE203D0" w14:textId="77777777" w:rsidTr="00A47463">
        <w:trPr>
          <w:tblCellSpacing w:w="0" w:type="dxa"/>
        </w:trPr>
        <w:tc>
          <w:tcPr>
            <w:tcW w:w="127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E239DA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</w:rPr>
            </w:pPr>
            <w:r w:rsidRPr="00A47463">
              <w:rPr>
                <w:rFonts w:ascii="Cambria" w:hAnsi="Cambria" w:cs="Segoe UI"/>
                <w:color w:val="666666"/>
                <w:spacing w:val="-12"/>
              </w:rPr>
              <w:t>Priority 4:</w:t>
            </w:r>
          </w:p>
        </w:tc>
        <w:tc>
          <w:tcPr>
            <w:tcW w:w="8220" w:type="dxa"/>
            <w:tcBorders>
              <w:top w:val="single" w:sz="6" w:space="0" w:color="EEEEEE"/>
              <w:left w:val="single" w:sz="6" w:space="0" w:color="CCCCCC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7C902C" w14:textId="77777777" w:rsidR="00A47463" w:rsidRPr="006943D9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 xml:space="preserve">Ensure every learner/ākonga gains sound foundation skills, including language, literacy and </w:t>
            </w:r>
            <w:proofErr w:type="gramStart"/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>numeracy</w:t>
            </w:r>
            <w:proofErr w:type="gramEnd"/>
          </w:p>
          <w:p w14:paraId="5128DF3B" w14:textId="73A3AD6E" w:rsidR="000D0AFD" w:rsidRPr="006943D9" w:rsidRDefault="008A0704" w:rsidP="000D0AFD">
            <w:pPr>
              <w:spacing w:before="100" w:beforeAutospacing="1" w:after="100" w:afterAutospacing="1"/>
              <w:ind w:right="1677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4a. </w:t>
            </w:r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will ensure as far as possible, that as part of each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child’s</w:t>
            </w:r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fully rounded education, that we do our utmost for every </w:t>
            </w:r>
            <w:r w:rsidR="000D0AFD" w:rsidRPr="00A47463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learner/ākonga gains sound foundation skills, including language, </w:t>
            </w:r>
            <w:proofErr w:type="gramStart"/>
            <w:r w:rsidR="000D0AFD" w:rsidRPr="00A47463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literacy</w:t>
            </w:r>
            <w:proofErr w:type="gramEnd"/>
            <w:r w:rsidR="000D0AFD" w:rsidRPr="00A47463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and numeracy</w:t>
            </w:r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. Included in this action, is our Tatou Tatou Approach to Literacy </w:t>
            </w:r>
            <w:proofErr w:type="gramStart"/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development</w:t>
            </w:r>
            <w:proofErr w:type="gramEnd"/>
          </w:p>
          <w:p w14:paraId="719F047A" w14:textId="00BED3B9" w:rsidR="008A0704" w:rsidRPr="006943D9" w:rsidRDefault="008A0704" w:rsidP="000D0AFD">
            <w:pPr>
              <w:spacing w:before="100" w:beforeAutospacing="1" w:after="100" w:afterAutospacing="1"/>
              <w:ind w:right="1677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4.b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continue to fund to a high </w:t>
            </w:r>
            <w:proofErr w:type="gramStart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level  para</w:t>
            </w:r>
            <w:proofErr w:type="gramEnd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professional support/</w:t>
            </w:r>
          </w:p>
          <w:p w14:paraId="18D210FA" w14:textId="2808B82C" w:rsidR="000D0AFD" w:rsidRPr="00A47463" w:rsidRDefault="000D0AFD" w:rsidP="000D0AFD">
            <w:pPr>
              <w:spacing w:before="100" w:beforeAutospacing="1" w:after="100" w:afterAutospacing="1"/>
              <w:ind w:right="1535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</w:p>
        </w:tc>
      </w:tr>
      <w:tr w:rsidR="00A47463" w:rsidRPr="00A47463" w14:paraId="41AEB6A9" w14:textId="77777777" w:rsidTr="00A47463">
        <w:trPr>
          <w:tblCellSpacing w:w="0" w:type="dxa"/>
        </w:trPr>
        <w:tc>
          <w:tcPr>
            <w:tcW w:w="9495" w:type="dxa"/>
            <w:gridSpan w:val="2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B916DB" w14:textId="16ED5C7B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highlight w:val="yellow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highlight w:val="yellow"/>
              </w:rPr>
              <w:t>OBJECTIVE 3: QUALITY TEACHING AND LEADERSHIP</w:t>
            </w:r>
          </w:p>
        </w:tc>
      </w:tr>
      <w:tr w:rsidR="00A47463" w:rsidRPr="00A47463" w14:paraId="41C3AE7B" w14:textId="77777777" w:rsidTr="00A47463">
        <w:trPr>
          <w:tblCellSpacing w:w="0" w:type="dxa"/>
        </w:trPr>
        <w:tc>
          <w:tcPr>
            <w:tcW w:w="127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A248D5" w14:textId="77777777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Priority 5:</w:t>
            </w:r>
          </w:p>
        </w:tc>
        <w:tc>
          <w:tcPr>
            <w:tcW w:w="8220" w:type="dxa"/>
            <w:tcBorders>
              <w:top w:val="single" w:sz="6" w:space="0" w:color="EEEEEE"/>
              <w:left w:val="single" w:sz="6" w:space="0" w:color="CCCCCC"/>
              <w:bottom w:val="single" w:sz="6" w:space="0" w:color="EEEEEE"/>
              <w:right w:val="single" w:sz="6" w:space="0" w:color="EEEEEE"/>
            </w:tcBorders>
            <w:shd w:val="clear" w:color="auto" w:fill="F6F7F2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547BCA" w14:textId="77777777" w:rsidR="00A47463" w:rsidRPr="006943D9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>Meaningfully incorporate te reo Māori and tikanga Māori into the everyday life of the place of learning</w:t>
            </w:r>
          </w:p>
          <w:p w14:paraId="3812292F" w14:textId="4427EE8E" w:rsidR="000D0AFD" w:rsidRPr="006943D9" w:rsidRDefault="008A0704" w:rsidP="000D0AFD">
            <w:pPr>
              <w:spacing w:before="100" w:beforeAutospacing="1" w:after="100" w:afterAutospacing="1"/>
              <w:ind w:right="1960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5a. </w:t>
            </w:r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We work towards increasing the minimum level of te reo in mainstream, through professional development as a school and within teams being the vehicle to carry this out.</w:t>
            </w:r>
          </w:p>
          <w:p w14:paraId="3F4B670E" w14:textId="11ED0ECF" w:rsidR="008A0704" w:rsidRPr="006943D9" w:rsidRDefault="008A0704" w:rsidP="000D0AFD">
            <w:pPr>
              <w:spacing w:before="100" w:beforeAutospacing="1" w:after="100" w:afterAutospacing="1"/>
              <w:ind w:right="1960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5b. </w:t>
            </w: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We continue to fund to a high </w:t>
            </w:r>
            <w:proofErr w:type="gramStart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level  para</w:t>
            </w:r>
            <w:proofErr w:type="gramEnd"/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 professional support/</w:t>
            </w:r>
          </w:p>
          <w:p w14:paraId="10959301" w14:textId="4DF6D8EE" w:rsidR="008A0704" w:rsidRPr="006943D9" w:rsidRDefault="008A0704" w:rsidP="000D0AFD">
            <w:pPr>
              <w:spacing w:before="100" w:beforeAutospacing="1" w:after="100" w:afterAutospacing="1"/>
              <w:ind w:right="1960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5c. We incorporate the knowledge and skills already on staff, to help with this on a Tatou Tatou Approach.</w:t>
            </w:r>
          </w:p>
          <w:p w14:paraId="7AD1129B" w14:textId="0B565055" w:rsidR="000D0AFD" w:rsidRPr="00A47463" w:rsidRDefault="000D0AFD" w:rsidP="00A47463">
            <w:pPr>
              <w:spacing w:before="100" w:beforeAutospacing="1" w:after="100" w:afterAutospacing="1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</w:p>
        </w:tc>
      </w:tr>
      <w:tr w:rsidR="00A47463" w:rsidRPr="00A47463" w14:paraId="5121B86F" w14:textId="77777777" w:rsidTr="00A47463">
        <w:trPr>
          <w:tblCellSpacing w:w="0" w:type="dxa"/>
        </w:trPr>
        <w:tc>
          <w:tcPr>
            <w:tcW w:w="127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098D5D" w14:textId="7ACF9AA8" w:rsidR="00A47463" w:rsidRPr="00A47463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Priority 6:</w:t>
            </w:r>
          </w:p>
        </w:tc>
        <w:tc>
          <w:tcPr>
            <w:tcW w:w="8220" w:type="dxa"/>
            <w:tcBorders>
              <w:top w:val="single" w:sz="6" w:space="0" w:color="EEEEEE"/>
              <w:left w:val="single" w:sz="6" w:space="0" w:color="CCCCCC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30EACA" w14:textId="3A2EB44D" w:rsidR="00A47463" w:rsidRPr="006943D9" w:rsidRDefault="00A47463" w:rsidP="00A47463">
            <w:pPr>
              <w:spacing w:before="100" w:beforeAutospacing="1" w:after="100" w:afterAutospacing="1"/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</w:pPr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 xml:space="preserve">Develop staff to strengthen teaching, leadership and learner support capability across the education </w:t>
            </w:r>
            <w:proofErr w:type="gramStart"/>
            <w:r w:rsidRPr="00A47463">
              <w:rPr>
                <w:rFonts w:ascii="Cambria" w:hAnsi="Cambria" w:cs="Segoe UI"/>
                <w:b/>
                <w:bCs/>
                <w:color w:val="666666"/>
                <w:spacing w:val="-12"/>
                <w:sz w:val="22"/>
                <w:szCs w:val="22"/>
              </w:rPr>
              <w:t>workforce</w:t>
            </w:r>
            <w:proofErr w:type="gramEnd"/>
          </w:p>
          <w:p w14:paraId="0880D2C0" w14:textId="69A110B3" w:rsidR="000D0AFD" w:rsidRPr="00A47463" w:rsidRDefault="008A0704" w:rsidP="000D0AFD">
            <w:pPr>
              <w:spacing w:before="100" w:beforeAutospacing="1" w:after="100" w:afterAutospacing="1"/>
              <w:ind w:right="1393"/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</w:pPr>
            <w:r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 xml:space="preserve">6a. </w:t>
            </w:r>
            <w:r w:rsidR="000D0AFD" w:rsidRPr="006943D9">
              <w:rPr>
                <w:rFonts w:ascii="Cambria" w:hAnsi="Cambria" w:cs="Segoe UI"/>
                <w:color w:val="666666"/>
                <w:spacing w:val="-12"/>
                <w:sz w:val="22"/>
                <w:szCs w:val="22"/>
              </w:rPr>
              <w:t>We have a strong emphasis on Professional Development of all staff, including paraprofessionals, via identified strengths, areas for development and through professional debate and discussion.</w:t>
            </w:r>
          </w:p>
        </w:tc>
      </w:tr>
    </w:tbl>
    <w:p w14:paraId="0BB38FFF" w14:textId="77777777" w:rsidR="00A47463" w:rsidRPr="00CB755F" w:rsidRDefault="00A47463">
      <w:pPr>
        <w:rPr>
          <w:rFonts w:ascii="Cambria" w:hAnsi="Cambria"/>
          <w:sz w:val="28"/>
          <w:szCs w:val="28"/>
        </w:rPr>
      </w:pPr>
    </w:p>
    <w:sectPr w:rsidR="00A47463" w:rsidRPr="00CB755F" w:rsidSect="00A47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624BE"/>
    <w:multiLevelType w:val="hybridMultilevel"/>
    <w:tmpl w:val="6A583E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3"/>
    <w:rsid w:val="00035ED0"/>
    <w:rsid w:val="000D0AFD"/>
    <w:rsid w:val="006943D9"/>
    <w:rsid w:val="008A0704"/>
    <w:rsid w:val="00A47463"/>
    <w:rsid w:val="00CB755F"/>
    <w:rsid w:val="00D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4ACC"/>
  <w15:chartTrackingRefBased/>
  <w15:docId w15:val="{070B9CB3-B7D1-4ADE-A861-CF261D3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63"/>
    <w:pPr>
      <w:spacing w:after="0" w:line="240" w:lineRule="auto"/>
    </w:pPr>
    <w:rPr>
      <w:rFonts w:eastAsia="Times New Roman" w:cs="Times New Roman"/>
      <w:kern w:val="0"/>
      <w:sz w:val="24"/>
      <w:szCs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4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B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Newman</dc:creator>
  <cp:keywords/>
  <dc:description/>
  <cp:lastModifiedBy>Pat Newman</cp:lastModifiedBy>
  <cp:revision>2</cp:revision>
  <dcterms:created xsi:type="dcterms:W3CDTF">2023-04-20T23:58:00Z</dcterms:created>
  <dcterms:modified xsi:type="dcterms:W3CDTF">2023-04-20T23:58:00Z</dcterms:modified>
</cp:coreProperties>
</file>